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60"/>
        <w:ind w:firstLine="0" w:left="7088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УТВЕРЖДЕНА</w:t>
      </w:r>
    </w:p>
    <w:p w14:paraId="03000000">
      <w:pPr>
        <w:spacing w:after="120"/>
        <w:ind w:firstLine="0" w:left="70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Указом Президента Российской Федерации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от 23 июня 2014 г. № 460</w:t>
      </w:r>
    </w:p>
    <w:p w14:paraId="04000000">
      <w:pPr>
        <w:spacing w:after="360"/>
        <w:ind w:firstLine="0" w:left="70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ред. Указов Президента РФ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19.09.2017 № 431,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09.10.2017 № 472)</w:t>
      </w:r>
    </w:p>
    <w:p w14:paraId="05000000">
      <w:p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 </w:t>
      </w:r>
    </w:p>
    <w:p w14:paraId="06000000">
      <w:pPr>
        <w:spacing w:after="360"/>
        <w:ind w:firstLine="0" w:left="86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наименование кадрового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подразделения федерального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государственного органа,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 или организации)</w:t>
      </w:r>
    </w:p>
    <w:p w14:paraId="07000000">
      <w:pPr>
        <w:ind/>
        <w:jc w:val="center"/>
        <w:rPr>
          <w:rFonts w:ascii="Times New Roman" w:hAnsi="Times New Roman"/>
          <w:b w:val="1"/>
          <w:sz w:val="26"/>
        </w:rPr>
      </w:pPr>
      <w:bookmarkStart w:id="1" w:name="P77"/>
      <w:bookmarkEnd w:id="1"/>
      <w:r>
        <w:rPr>
          <w:rFonts w:ascii="Times New Roman" w:hAnsi="Times New Roman"/>
          <w:b w:val="1"/>
          <w:sz w:val="26"/>
        </w:rPr>
        <w:t>СПРАВКА</w:t>
      </w:r>
      <w:r>
        <w:rPr>
          <w:rFonts w:ascii="Times New Roman" w:hAnsi="Times New Roman"/>
          <w:b w:val="1"/>
          <w:sz w:val="26"/>
        </w:rPr>
        <w:t> </w:t>
      </w:r>
      <w:r>
        <w:rPr>
          <w:rStyle w:val="Style_2_ch"/>
          <w:rFonts w:ascii="Times New Roman" w:hAnsi="Times New Roman"/>
          <w:b w:val="1"/>
          <w:sz w:val="26"/>
        </w:rPr>
        <w:footnoteReference w:id="1"/>
      </w:r>
    </w:p>
    <w:p w14:paraId="08000000">
      <w:pPr>
        <w:spacing w:after="36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доходах, расходах, об имуществе и обязательствах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имущественного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характера</w:t>
      </w:r>
      <w:r>
        <w:rPr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footnoteReference w:id="2"/>
      </w:r>
    </w:p>
    <w:p w14:paraId="09000000">
      <w:pPr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</w:t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ind w:firstLine="0" w:left="924"/>
        <w:rPr>
          <w:rFonts w:ascii="Times New Roman" w:hAnsi="Times New Roman"/>
          <w:sz w:val="2"/>
        </w:rPr>
      </w:pPr>
    </w:p>
    <w:p w14:paraId="0B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0C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отчество, дата рождения, серия и номер паспорта,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 выдачи и орган, выдавший паспорт)</w:t>
      </w:r>
    </w:p>
    <w:p w14:paraId="0D000000">
      <w:pPr>
        <w:rPr>
          <w:rFonts w:ascii="Times New Roman" w:hAnsi="Times New Roman"/>
          <w:sz w:val="24"/>
        </w:rPr>
      </w:pPr>
    </w:p>
    <w:p w14:paraId="0E000000">
      <w:pPr>
        <w:rPr>
          <w:rFonts w:ascii="Times New Roman" w:hAnsi="Times New Roman"/>
          <w:sz w:val="2"/>
        </w:rPr>
      </w:pPr>
    </w:p>
    <w:p w14:paraId="0F000000">
      <w:pPr>
        <w:rPr>
          <w:rFonts w:ascii="Times New Roman" w:hAnsi="Times New Roman"/>
          <w:sz w:val="24"/>
        </w:rPr>
      </w:pPr>
    </w:p>
    <w:p w14:paraId="10000000">
      <w:pPr>
        <w:rPr>
          <w:rFonts w:ascii="Times New Roman" w:hAnsi="Times New Roman"/>
          <w:sz w:val="2"/>
        </w:rPr>
      </w:pPr>
    </w:p>
    <w:p w14:paraId="11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12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(место работы (службы), занимаемая (замещаемая) должность; в случае отсутствия основного места работы (службы)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род занятий; должность, на замещение которой претендует гражданин (если применимо))</w:t>
      </w:r>
    </w:p>
    <w:p w14:paraId="13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зарегистрированный по адресу: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14000000">
      <w:pPr>
        <w:spacing w:after="60"/>
        <w:ind w:firstLine="0" w:left="3362"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места регистрации)</w:t>
      </w:r>
    </w:p>
    <w:p w14:paraId="1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своих,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супруги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(супруга),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несовершеннолетнего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ребенка </w:t>
      </w:r>
      <w:r>
        <w:rPr>
          <w:rFonts w:ascii="Times New Roman" w:hAnsi="Times New Roman"/>
        </w:rPr>
        <w:t>(нужное подчеркнуть)</w:t>
      </w:r>
    </w:p>
    <w:p w14:paraId="16000000">
      <w:pPr>
        <w:rPr>
          <w:rFonts w:ascii="Times New Roman" w:hAnsi="Times New Roman"/>
          <w:sz w:val="24"/>
        </w:rPr>
      </w:pPr>
    </w:p>
    <w:p w14:paraId="17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отчество, дата рождения, серия и номер паспорта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или свидетельства о рождении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(для несовершеннолетнего ребенка,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имеющего паспорта), дата выдачи и орган, выдавший документ)</w:t>
      </w:r>
    </w:p>
    <w:p w14:paraId="18000000">
      <w:pPr>
        <w:rPr>
          <w:rFonts w:ascii="Times New Roman" w:hAnsi="Times New Roman"/>
          <w:sz w:val="24"/>
        </w:rPr>
      </w:pPr>
    </w:p>
    <w:p w14:paraId="19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места регистрации, основное место работы (службы), занимаемая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(замещаемая) должность)</w:t>
      </w:r>
    </w:p>
    <w:p w14:paraId="1A000000">
      <w:pPr>
        <w:rPr>
          <w:rFonts w:ascii="Times New Roman" w:hAnsi="Times New Roman"/>
          <w:sz w:val="24"/>
        </w:rPr>
      </w:pPr>
    </w:p>
    <w:p w14:paraId="1B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случае отсутствия основного места работы (службы)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род занятий)</w:t>
      </w: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"/>
        </w:rPr>
      </w:pPr>
    </w:p>
    <w:tbl>
      <w:tblPr>
        <w:tblStyle w:val="Style_3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544"/>
        <w:gridCol w:w="397"/>
        <w:gridCol w:w="2041"/>
        <w:gridCol w:w="397"/>
        <w:gridCol w:w="3673"/>
      </w:tblGrid>
      <w:tr>
        <w:tc>
          <w:tcPr>
            <w:tcW w:type="dxa" w:w="35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за отчетный период с 1 января 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</w:p>
        </w:tc>
        <w:tc>
          <w:tcPr>
            <w:tcW w:type="dxa" w:w="20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г. по 31 декабря 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</w:p>
        </w:tc>
        <w:tc>
          <w:tcPr>
            <w:tcW w:type="dxa" w:w="367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spacing w:after="0" w:line="240" w:lineRule="auto"/>
              <w:ind w:firstLine="0" w:left="57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г. об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имуществе,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принадлежащем</w:t>
            </w:r>
          </w:p>
        </w:tc>
      </w:tr>
    </w:tbl>
    <w:p w14:paraId="25000000">
      <w:pPr>
        <w:rPr>
          <w:rFonts w:ascii="Times New Roman" w:hAnsi="Times New Roman"/>
          <w:sz w:val="24"/>
        </w:rPr>
      </w:pPr>
    </w:p>
    <w:p w14:paraId="26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14:paraId="27000000">
      <w:pPr>
        <w:ind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обязательствах </w:t>
      </w:r>
      <w:r>
        <w:rPr>
          <w:rFonts w:ascii="Times New Roman" w:hAnsi="Times New Roman"/>
          <w:sz w:val="24"/>
        </w:rPr>
        <w:br/>
      </w:r>
    </w:p>
    <w:tbl>
      <w:tblPr>
        <w:tblStyle w:val="Style_3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имущественного характера по состоянию на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47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spacing w:after="0" w:line="240" w:lineRule="auto"/>
              <w:ind w:firstLine="0"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2F000000">
      <w:pPr>
        <w:ind/>
        <w:jc w:val="both"/>
        <w:rPr>
          <w:rFonts w:ascii="Times New Roman" w:hAnsi="Times New Roman"/>
          <w:sz w:val="24"/>
        </w:rPr>
      </w:pPr>
    </w:p>
    <w:p w14:paraId="3000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1. </w:t>
      </w:r>
      <w:r>
        <w:rPr>
          <w:rFonts w:ascii="Times New Roman" w:hAnsi="Times New Roman"/>
          <w:b w:val="1"/>
          <w:sz w:val="24"/>
        </w:rPr>
        <w:t>Сведения о доходах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W w:type="auto" w:w="0"/>
        <w:tblLayout w:type="fixed"/>
        <w:tblCellMar>
          <w:left w:type="dxa" w:w="28"/>
          <w:right w:type="dxa" w:w="28"/>
        </w:tblCellMar>
      </w:tblPr>
      <w:tblGrid>
        <w:gridCol w:w="851"/>
        <w:gridCol w:w="6861"/>
        <w:gridCol w:w="2268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дохода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Величина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дохода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62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по основному месту работы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2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педагогической и научной деятельности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24"/>
        </w:trPr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иной творческой деятельности</w:t>
            </w:r>
          </w:p>
        </w:tc>
        <w:tc>
          <w:tcPr>
            <w:tcW w:type="dxa" w:w="22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79"/>
        </w:trPr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 от вкладов в банках и иных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кредитных организациях</w:t>
            </w:r>
          </w:p>
        </w:tc>
        <w:tc>
          <w:tcPr>
            <w:tcW w:type="dxa" w:w="22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7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доходы (указать вид дохода):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6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6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22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доход за отчетный период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500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56000000">
      <w:pPr>
        <w:ind w:firstLine="567" w:left="0"/>
        <w:jc w:val="both"/>
        <w:rPr>
          <w:rFonts w:ascii="Times New Roman" w:hAnsi="Times New Roman"/>
        </w:rPr>
      </w:pPr>
      <w:bookmarkStart w:id="2" w:name="P159"/>
      <w:bookmarkEnd w:id="2"/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Указываются доходы (включая пенсии, пособия, иные выплаты) за отчетный период.</w:t>
      </w:r>
    </w:p>
    <w:p w14:paraId="57000000">
      <w:pPr>
        <w:ind w:firstLine="567" w:left="0"/>
        <w:jc w:val="both"/>
        <w:rPr>
          <w:rFonts w:ascii="Times New Roman" w:hAnsi="Times New Roman"/>
        </w:rPr>
      </w:pPr>
      <w:bookmarkStart w:id="3" w:name="P161"/>
      <w:bookmarkEnd w:id="3"/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14:paraId="5800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2. </w:t>
      </w:r>
      <w:r>
        <w:rPr>
          <w:rFonts w:ascii="Times New Roman" w:hAnsi="Times New Roman"/>
          <w:b w:val="1"/>
          <w:sz w:val="24"/>
        </w:rPr>
        <w:t>Сведения о расходах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W w:type="auto" w:w="0"/>
        <w:tblLayout w:type="fixed"/>
        <w:tblCellMar>
          <w:left w:type="dxa" w:w="28"/>
          <w:right w:type="dxa" w:w="28"/>
        </w:tblCellMar>
      </w:tblPr>
      <w:tblGrid>
        <w:gridCol w:w="680"/>
        <w:gridCol w:w="2098"/>
        <w:gridCol w:w="1985"/>
        <w:gridCol w:w="2722"/>
        <w:gridCol w:w="2495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приобретенного имущества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сделки (руб.)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Источник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получения средств,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за счет которых приобретено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имущество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приобретения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C700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C8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 Сведения о расходах представляются в случаях, установленных статьей 3 Федерального закона от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C9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CA000000">
      <w:pPr>
        <w:pageBreakBefore w:val="1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3. </w:t>
      </w:r>
      <w:r>
        <w:rPr>
          <w:rFonts w:ascii="Times New Roman" w:hAnsi="Times New Roman"/>
          <w:b w:val="1"/>
          <w:sz w:val="24"/>
        </w:rPr>
        <w:t>Сведения об имуществе</w:t>
      </w:r>
    </w:p>
    <w:p w14:paraId="CB000000">
      <w:pPr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3.1. </w:t>
      </w:r>
      <w:r>
        <w:rPr>
          <w:rFonts w:ascii="Times New Roman" w:hAnsi="Times New Roman"/>
          <w:b w:val="1"/>
          <w:sz w:val="24"/>
        </w:rPr>
        <w:t>Недвижимое имущество</w:t>
      </w:r>
    </w:p>
    <w:tbl>
      <w:tblPr>
        <w:tblStyle w:val="Style_3"/>
        <w:tblW w:type="auto" w:w="0"/>
        <w:tblLayout w:type="fixed"/>
        <w:tblCellMar>
          <w:left w:type="dxa" w:w="28"/>
          <w:right w:type="dxa" w:w="28"/>
        </w:tblCellMar>
      </w:tblPr>
      <w:tblGrid>
        <w:gridCol w:w="680"/>
        <w:gridCol w:w="2041"/>
        <w:gridCol w:w="1644"/>
        <w:gridCol w:w="2041"/>
        <w:gridCol w:w="1418"/>
        <w:gridCol w:w="2155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наименование имущества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собствен</w:t>
            </w:r>
            <w:r>
              <w:rPr>
                <w:rFonts w:ascii="Times New Roman" w:hAnsi="Times New Roman"/>
                <w:sz w:val="24"/>
              </w:rPr>
              <w:t>ности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0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>нахождение (адрес)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 приобретения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источник средств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Жилые дома, дачи: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Квартиры: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Гаражи: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недвижимое имущество: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32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33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4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rPr>
          <w:rFonts w:ascii="Times New Roman" w:hAnsi="Times New Roman"/>
        </w:rPr>
        <w:t>акона от 7 мая 2013 г. № 79-ФЗ «</w:t>
      </w:r>
      <w:r>
        <w:rPr>
          <w:rFonts w:ascii="Times New Roman" w:hAnsi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источник получения средств, за счет которых приобретено имущество.</w:t>
      </w:r>
    </w:p>
    <w:p w14:paraId="35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3601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3.2. </w:t>
      </w:r>
      <w:r>
        <w:rPr>
          <w:rFonts w:ascii="Times New Roman" w:hAnsi="Times New Roman"/>
          <w:b w:val="1"/>
          <w:sz w:val="24"/>
        </w:rPr>
        <w:t>Транспортные средства</w:t>
      </w:r>
    </w:p>
    <w:tbl>
      <w:tblPr>
        <w:tblStyle w:val="Style_3"/>
        <w:tblW w:type="auto" w:w="0"/>
        <w:tblLayout w:type="fixed"/>
        <w:tblCellMar>
          <w:left w:type="dxa" w:w="28"/>
          <w:right w:type="dxa" w:w="28"/>
        </w:tblCellMar>
      </w:tblPr>
      <w:tblGrid>
        <w:gridCol w:w="680"/>
        <w:gridCol w:w="3346"/>
        <w:gridCol w:w="2722"/>
        <w:gridCol w:w="3232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Вид, марка, модель транспортного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средства, год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изготовления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собственности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регистрации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Мототранспортные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Водный транспорт: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Воздушный транспорт: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93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94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9501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bookmarkStart w:id="4" w:name="P442"/>
      <w:bookmarkEnd w:id="4"/>
      <w:r>
        <w:rPr>
          <w:rFonts w:ascii="Times New Roman" w:hAnsi="Times New Roman"/>
          <w:b w:val="1"/>
          <w:sz w:val="24"/>
        </w:rPr>
        <w:t>Раздел 4. </w:t>
      </w:r>
      <w:r>
        <w:rPr>
          <w:rFonts w:ascii="Times New Roman" w:hAnsi="Times New Roman"/>
          <w:b w:val="1"/>
          <w:sz w:val="24"/>
        </w:rPr>
        <w:t>Сведения о счетах в банках и иных кредитных организациях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564"/>
        <w:gridCol w:w="2722"/>
        <w:gridCol w:w="1588"/>
        <w:gridCol w:w="1474"/>
        <w:gridCol w:w="1814"/>
        <w:gridCol w:w="1814"/>
      </w:tblGrid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адрес банка или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иной кредитной организации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валюта счета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открытия счета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Остаток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счете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поступивших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счет денежных средств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B4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B5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вид счета (депозитный, текущий, расчетный, ссудный и другие) и валюта счета.</w:t>
      </w:r>
    </w:p>
    <w:p w14:paraId="B6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B7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14:paraId="B8010000">
      <w:pPr>
        <w:pageBreakBefore w:val="1"/>
        <w:ind w:firstLine="851" w:left="0"/>
        <w:rPr>
          <w:rFonts w:ascii="Times New Roman" w:hAnsi="Times New Roman"/>
          <w:b w:val="1"/>
          <w:sz w:val="24"/>
        </w:rPr>
      </w:pPr>
      <w:bookmarkStart w:id="5" w:name="P493"/>
      <w:bookmarkEnd w:id="5"/>
      <w:r>
        <w:rPr>
          <w:rFonts w:ascii="Times New Roman" w:hAnsi="Times New Roman"/>
          <w:b w:val="1"/>
          <w:sz w:val="24"/>
        </w:rPr>
        <w:t>Раздел 5. </w:t>
      </w:r>
      <w:r>
        <w:rPr>
          <w:rFonts w:ascii="Times New Roman" w:hAnsi="Times New Roman"/>
          <w:b w:val="1"/>
          <w:sz w:val="24"/>
        </w:rPr>
        <w:t>Сведения о ценных бумагах</w:t>
      </w:r>
    </w:p>
    <w:p w14:paraId="B9010000">
      <w:pPr>
        <w:spacing w:after="240"/>
        <w:ind w:firstLine="851" w:left="0"/>
        <w:rPr>
          <w:rFonts w:ascii="Times New Roman" w:hAnsi="Times New Roman"/>
          <w:b w:val="1"/>
          <w:sz w:val="24"/>
        </w:rPr>
      </w:pPr>
      <w:bookmarkStart w:id="6" w:name="P495"/>
      <w:bookmarkEnd w:id="6"/>
      <w:r>
        <w:rPr>
          <w:rFonts w:ascii="Times New Roman" w:hAnsi="Times New Roman"/>
          <w:b w:val="1"/>
          <w:sz w:val="24"/>
        </w:rPr>
        <w:t>5.1. </w:t>
      </w:r>
      <w:r>
        <w:rPr>
          <w:rFonts w:ascii="Times New Roman" w:hAnsi="Times New Roman"/>
          <w:b w:val="1"/>
          <w:sz w:val="24"/>
        </w:rPr>
        <w:t>Акции и иное участие в коммерческих организациях и фондах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495"/>
        <w:gridCol w:w="2041"/>
        <w:gridCol w:w="1418"/>
        <w:gridCol w:w="1474"/>
        <w:gridCol w:w="1928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организационно-правовая форма организации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C01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 xml:space="preserve">нахождение организации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(адрес)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участия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участия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E4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E5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E6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E7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E801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E901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5.2. Иные ценные бумаги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155"/>
        <w:gridCol w:w="2495"/>
        <w:gridCol w:w="1758"/>
        <w:gridCol w:w="1418"/>
        <w:gridCol w:w="1531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ценной бумаги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Лицо,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выпустившее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ценную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бумагу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Номинальная величина обязательства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A020000">
      <w:pPr>
        <w:spacing w:before="480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бумагах»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суммарная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организациях (руб.), </w:t>
      </w:r>
      <w:r>
        <w:rPr>
          <w:rFonts w:ascii="Times New Roman" w:hAnsi="Times New Roman"/>
          <w:sz w:val="24"/>
        </w:rPr>
        <w:t xml:space="preserve"> </w:t>
      </w:r>
    </w:p>
    <w:p w14:paraId="1B020000">
      <w:pPr>
        <w:spacing w:after="60"/>
        <w:ind w:firstLine="0" w:left="7813"/>
        <w:rPr>
          <w:rFonts w:ascii="Times New Roman" w:hAnsi="Times New Roman"/>
          <w:sz w:val="2"/>
        </w:rPr>
      </w:pPr>
    </w:p>
    <w:p w14:paraId="1C02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1D020000">
      <w:pPr>
        <w:spacing w:after="60"/>
        <w:ind w:right="113"/>
        <w:rPr>
          <w:rFonts w:ascii="Times New Roman" w:hAnsi="Times New Roman"/>
          <w:sz w:val="2"/>
        </w:rPr>
      </w:pPr>
    </w:p>
    <w:p w14:paraId="1E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1F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все ценные бумаги по видам (облигации, векселя и другие), за исключением акц</w:t>
      </w:r>
      <w:r>
        <w:rPr>
          <w:rFonts w:ascii="Times New Roman" w:hAnsi="Times New Roman"/>
        </w:rPr>
        <w:t>ий, указанных в подразделе 5.1 «</w:t>
      </w:r>
      <w:r>
        <w:rPr>
          <w:rFonts w:ascii="Times New Roman" w:hAnsi="Times New Roman"/>
        </w:rPr>
        <w:t>Акции и иное участие в ком</w:t>
      </w:r>
      <w:r>
        <w:rPr>
          <w:rFonts w:ascii="Times New Roman" w:hAnsi="Times New Roman"/>
        </w:rPr>
        <w:t>мерческих организациях и фондах»</w:t>
      </w:r>
      <w:r>
        <w:rPr>
          <w:rFonts w:ascii="Times New Roman" w:hAnsi="Times New Roman"/>
        </w:rPr>
        <w:t>.</w:t>
      </w:r>
    </w:p>
    <w:p w14:paraId="20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Указывается общая стоимость ценных бумаг данного вида исходя из стоимости их приобретения (если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ее нельзя определить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21020000">
      <w:pPr>
        <w:pageBreakBefore w:val="1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6.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Сведения об обязательствах имущественного характера</w:t>
      </w:r>
    </w:p>
    <w:p w14:paraId="22020000">
      <w:pPr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6.1. </w:t>
      </w:r>
      <w:r>
        <w:rPr>
          <w:rFonts w:ascii="Times New Roman" w:hAnsi="Times New Roman"/>
          <w:b w:val="1"/>
          <w:sz w:val="24"/>
        </w:rPr>
        <w:t>Объекты недвижимого имущества, находящиеся в пользовании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1985"/>
        <w:gridCol w:w="1985"/>
        <w:gridCol w:w="1871"/>
        <w:gridCol w:w="2268"/>
        <w:gridCol w:w="1247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сроки пользования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пользования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2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>нахождение (адрес)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3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42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Указываются по состоянию на отчетную дату.</w:t>
      </w:r>
    </w:p>
    <w:p w14:paraId="43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Указывается вид недвижимого имущества (земельный участок, жилой дом, дача и другие).</w:t>
      </w:r>
    </w:p>
    <w:p w14:paraId="44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Указываются вид пользования (аренда, безвозмездное пользование и другие) и сроки пользования.</w:t>
      </w:r>
    </w:p>
    <w:p w14:paraId="45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 Указываются основание пользования (договор, фактическое предоставление и другие), а также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реквизиты (дата, номер) соответствующего договора или акта.</w:t>
      </w:r>
    </w:p>
    <w:p w14:paraId="46020000">
      <w:pPr>
        <w:pageBreakBefore w:val="1"/>
        <w:spacing w:after="240"/>
        <w:ind w:firstLine="851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6.2. </w:t>
      </w:r>
      <w:r>
        <w:rPr>
          <w:rFonts w:ascii="Times New Roman" w:hAnsi="Times New Roman"/>
          <w:b w:val="1"/>
          <w:sz w:val="24"/>
        </w:rPr>
        <w:t>Срочные обязательства финансового характера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обязательства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Кредитор (должник)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возникновения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type="dxa" w:w="18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обязательства/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размер обязательства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состоянию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отчетную дату 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обязательства </w:t>
            </w:r>
            <w:r>
              <w:rPr>
                <w:rFonts w:ascii="Times New Roman" w:hAnsi="Times New Roman"/>
                <w:sz w:val="24"/>
                <w:vertAlign w:val="superscript"/>
              </w:rPr>
              <w:t>6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5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5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6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6B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6C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6D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существо обязательства (заем, кредит и другие).</w:t>
      </w:r>
    </w:p>
    <w:p w14:paraId="6E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6F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Указываются основание возникновения обязательства, а также реквизиты (дата, номер)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соответствующего договора или акта.</w:t>
      </w:r>
    </w:p>
    <w:p w14:paraId="70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71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72020000">
      <w:pPr>
        <w:pageBreakBefore w:val="1"/>
        <w:spacing w:after="240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 7. </w:t>
      </w:r>
      <w:r>
        <w:rPr>
          <w:rFonts w:ascii="Times New Roman" w:hAnsi="Times New Roman"/>
          <w:b w:val="1"/>
          <w:sz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005"/>
        <w:gridCol w:w="3005"/>
        <w:gridCol w:w="3119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имущества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Приобретатель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имущества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сделке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отчуждения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</w:t>
            </w:r>
            <w:r>
              <w:rPr>
                <w:rFonts w:ascii="Times New Roman" w:hAnsi="Times New Roman"/>
                <w:sz w:val="24"/>
              </w:rPr>
              <w:t>мое имущество: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AB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AC02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AD020000">
      <w:pPr>
        <w:spacing w:after="96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14:paraId="AE020000">
      <w:pPr>
        <w:spacing w:after="360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Достоверность и полноту настоящих сведений подтверждаю.</w:t>
      </w:r>
    </w:p>
    <w:tbl>
      <w:tblPr>
        <w:tblStyle w:val="Style_3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>
        <w:tc>
          <w:tcPr>
            <w:tcW w:type="dxa" w:w="1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5020000">
            <w:pPr>
              <w:spacing w:after="0" w:line="240" w:lineRule="auto"/>
              <w:ind w:firstLine="0"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612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5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1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7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7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D020000">
            <w:pPr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2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лица, представляющего сведения)</w:t>
            </w:r>
          </w:p>
        </w:tc>
      </w:tr>
    </w:tbl>
    <w:p w14:paraId="BF020000">
      <w:pPr>
        <w:spacing w:before="360"/>
        <w:ind/>
        <w:rPr>
          <w:rFonts w:ascii="Times New Roman" w:hAnsi="Times New Roman"/>
          <w:sz w:val="24"/>
        </w:rPr>
      </w:pPr>
    </w:p>
    <w:p w14:paraId="C002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и подпись лица, принявшего справку)</w:t>
      </w:r>
    </w:p>
    <w:p w14:paraId="C1020000">
      <w:pPr>
        <w:rPr>
          <w:rFonts w:ascii="Times New Roman" w:hAnsi="Times New Roman"/>
          <w:sz w:val="24"/>
        </w:rPr>
      </w:pPr>
    </w:p>
    <w:sectPr>
      <w:headerReference r:id="rId1" w:type="default"/>
      <w:type w:val="continuous"/>
      <w:pgSz w:h="16840" w:orient="portrait" w:w="11907"/>
      <w:pgMar w:bottom="567" w:footer="397" w:gutter="0" w:header="397" w:left="1134" w:right="851" w:top="85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C2020000">
      <w:pPr>
        <w:pStyle w:val="Style_18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14:paraId="C3020000">
      <w:pPr>
        <w:pStyle w:val="Style_18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153" w:val="clear"/>
        <w:tab w:leader="none" w:pos="8306" w:val="clear"/>
      </w:tabs>
      <w:ind/>
      <w:jc w:val="right"/>
      <w:rPr>
        <w:rFonts w:ascii="Times New Roman" w:hAnsi="Times New Roman"/>
        <w:b w:val="1"/>
        <w:sz w:val="14"/>
      </w:rPr>
    </w:pPr>
    <w:r>
      <w:rPr>
        <w:rFonts w:ascii="Times New Roman" w:hAnsi="Times New Roman"/>
        <w:sz w:val="14"/>
      </w:rPr>
      <w:t xml:space="preserve">Подготовлено с использованием системы </w:t>
    </w:r>
    <w:r>
      <w:rPr>
        <w:rFonts w:ascii="Times New Roman" w:hAnsi="Times New Roman"/>
        <w:b w:val="1"/>
        <w:sz w:val="14"/>
      </w:rPr>
      <w:t>КонсультантПлюс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0" w:left="0" w:right="0"/>
      <w:jc w:val="left"/>
    </w:pPr>
    <w:rPr>
      <w:sz w:val="20"/>
    </w:rPr>
  </w:style>
  <w:style w:default="1" w:styleId="Style_4_ch" w:type="character">
    <w:name w:val="Normal"/>
    <w:link w:val="Style_4"/>
    <w:rPr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Normal"/>
    <w:link w:val="Style_12_ch"/>
    <w:pPr>
      <w:widowControl w:val="0"/>
      <w:ind w:firstLine="0" w:left="0" w:right="0"/>
      <w:jc w:val="left"/>
    </w:pPr>
    <w:rPr>
      <w:rFonts w:ascii="Arial" w:hAnsi="Arial"/>
      <w:sz w:val="24"/>
    </w:rPr>
  </w:style>
  <w:style w:styleId="Style_12_ch" w:type="character">
    <w:name w:val="ConsPlusNormal"/>
    <w:link w:val="Style_12"/>
    <w:rPr>
      <w:rFonts w:ascii="Arial" w:hAnsi="Arial"/>
      <w:sz w:val="24"/>
    </w:rPr>
  </w:style>
  <w:style w:styleId="Style_2" w:type="paragraph">
    <w:name w:val="footnote reference"/>
    <w:basedOn w:val="Style_11"/>
    <w:link w:val="Style_2_ch"/>
    <w:rPr>
      <w:vertAlign w:val="superscript"/>
    </w:rPr>
  </w:style>
  <w:style w:styleId="Style_2_ch" w:type="character">
    <w:name w:val="footnote reference"/>
    <w:basedOn w:val="Style_11_ch"/>
    <w:link w:val="Style_2"/>
    <w:rPr>
      <w:vertAlign w:val="superscript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4"/>
    <w:link w:val="Style_16_ch"/>
    <w:pPr>
      <w:tabs>
        <w:tab w:leader="none" w:pos="4153" w:val="center"/>
        <w:tab w:leader="none" w:pos="8306" w:val="right"/>
      </w:tabs>
      <w:ind/>
      <w:jc w:val="left"/>
    </w:pPr>
  </w:style>
  <w:style w:styleId="Style_16_ch" w:type="character">
    <w:name w:val="footer"/>
    <w:basedOn w:val="Style_4_ch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4"/>
    <w:link w:val="Style_18_ch"/>
    <w:pPr>
      <w:ind/>
      <w:jc w:val="left"/>
    </w:pPr>
  </w:style>
  <w:style w:styleId="Style_18_ch" w:type="character">
    <w:name w:val="Footnote"/>
    <w:basedOn w:val="Style_4_ch"/>
    <w:link w:val="Style_18"/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ConsPlusNonformat"/>
    <w:link w:val="Style_21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  <w:jc w:val="left"/>
    </w:pPr>
  </w:style>
  <w:style w:styleId="Style_1_ch" w:type="character">
    <w:name w:val="header"/>
    <w:basedOn w:val="Style_4_ch"/>
    <w:link w:val="Style_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2024-07-19T06:28:17Z</dcterms:modified>
</cp:coreProperties>
</file>