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25" w:rsidRPr="00274D02" w:rsidRDefault="001B6E3C" w:rsidP="00F76B25">
      <w:pPr>
        <w:pStyle w:val="6"/>
        <w:rPr>
          <w:sz w:val="48"/>
        </w:rPr>
      </w:pPr>
      <w:r>
        <w:rPr>
          <w:sz w:val="48"/>
        </w:rPr>
        <w:t xml:space="preserve"> </w:t>
      </w:r>
      <w:r w:rsidR="00F76B25">
        <w:rPr>
          <w:noProof/>
        </w:rPr>
        <w:drawing>
          <wp:inline distT="0" distB="0" distL="0" distR="0">
            <wp:extent cx="346075" cy="41592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cstate="print">
                      <a:lum bright="-12000" contrast="72000"/>
                      <a:grayscl/>
                    </a:blip>
                    <a:srcRect/>
                    <a:stretch>
                      <a:fillRect/>
                    </a:stretch>
                  </pic:blipFill>
                  <pic:spPr bwMode="auto">
                    <a:xfrm>
                      <a:off x="0" y="0"/>
                      <a:ext cx="346075" cy="415925"/>
                    </a:xfrm>
                    <a:prstGeom prst="rect">
                      <a:avLst/>
                    </a:prstGeom>
                    <a:noFill/>
                    <a:ln w="9525">
                      <a:noFill/>
                      <a:miter lim="800000"/>
                      <a:headEnd/>
                      <a:tailEnd/>
                    </a:ln>
                  </pic:spPr>
                </pic:pic>
              </a:graphicData>
            </a:graphic>
          </wp:inline>
        </w:drawing>
      </w:r>
    </w:p>
    <w:p w:rsidR="00F76B25" w:rsidRPr="00CA2AAE" w:rsidRDefault="00F76B25" w:rsidP="00F76B25">
      <w:pPr>
        <w:pStyle w:val="6"/>
        <w:rPr>
          <w:sz w:val="48"/>
        </w:rPr>
      </w:pPr>
      <w:r w:rsidRPr="00CA2AAE">
        <w:rPr>
          <w:sz w:val="48"/>
        </w:rPr>
        <w:t>Администрация</w:t>
      </w:r>
    </w:p>
    <w:p w:rsidR="00F76B25" w:rsidRPr="00CA2AAE" w:rsidRDefault="00F76B25" w:rsidP="00F76B25">
      <w:pPr>
        <w:pStyle w:val="3"/>
        <w:rPr>
          <w:sz w:val="24"/>
        </w:rPr>
      </w:pPr>
      <w:r w:rsidRPr="00CA2AAE">
        <w:rPr>
          <w:sz w:val="40"/>
        </w:rPr>
        <w:t xml:space="preserve">закрытого административно-территориального образования </w:t>
      </w:r>
      <w:proofErr w:type="gramStart"/>
      <w:r w:rsidRPr="00CA2AAE">
        <w:rPr>
          <w:sz w:val="40"/>
        </w:rPr>
        <w:t>Озерный</w:t>
      </w:r>
      <w:proofErr w:type="gramEnd"/>
      <w:r w:rsidRPr="00CA2AAE">
        <w:rPr>
          <w:sz w:val="40"/>
        </w:rPr>
        <w:t xml:space="preserve"> Тверской области</w:t>
      </w:r>
    </w:p>
    <w:p w:rsidR="00F76B25" w:rsidRPr="00B840FA" w:rsidRDefault="00F76B25" w:rsidP="00F76B25">
      <w:pPr>
        <w:pStyle w:val="3"/>
        <w:rPr>
          <w:b w:val="0"/>
          <w:sz w:val="26"/>
        </w:rPr>
      </w:pPr>
    </w:p>
    <w:p w:rsidR="00F76B25" w:rsidRPr="00B840FA" w:rsidRDefault="00F76B25" w:rsidP="0007621F">
      <w:pPr>
        <w:pStyle w:val="3"/>
        <w:ind w:left="708"/>
        <w:rPr>
          <w:b w:val="0"/>
          <w:sz w:val="28"/>
          <w:szCs w:val="28"/>
        </w:rPr>
      </w:pPr>
      <w:r w:rsidRPr="00B840FA">
        <w:rPr>
          <w:b w:val="0"/>
          <w:sz w:val="28"/>
          <w:szCs w:val="28"/>
        </w:rPr>
        <w:t>П О С Т А Н О В Л Е Н И Е</w:t>
      </w:r>
    </w:p>
    <w:p w:rsidR="00F76B25" w:rsidRPr="00274D02" w:rsidRDefault="00F76B25" w:rsidP="0007621F">
      <w:pPr>
        <w:pStyle w:val="3"/>
        <w:ind w:left="708"/>
        <w:rPr>
          <w:b w:val="0"/>
          <w:sz w:val="28"/>
          <w:szCs w:val="28"/>
        </w:rPr>
      </w:pPr>
    </w:p>
    <w:p w:rsidR="00F76B25" w:rsidRPr="00274D02" w:rsidRDefault="00F76B25" w:rsidP="0007621F">
      <w:pPr>
        <w:pStyle w:val="3"/>
        <w:ind w:left="708"/>
        <w:rPr>
          <w:b w:val="0"/>
          <w:sz w:val="28"/>
          <w:szCs w:val="28"/>
        </w:rPr>
      </w:pPr>
    </w:p>
    <w:p w:rsidR="00F76B25" w:rsidRPr="00274D02" w:rsidRDefault="00375A40" w:rsidP="00C519C3">
      <w:pPr>
        <w:pStyle w:val="3"/>
        <w:jc w:val="both"/>
        <w:rPr>
          <w:b w:val="0"/>
          <w:sz w:val="28"/>
          <w:szCs w:val="28"/>
        </w:rPr>
      </w:pPr>
      <w:r w:rsidRPr="00375A40">
        <w:rPr>
          <w:b w:val="0"/>
          <w:sz w:val="28"/>
          <w:szCs w:val="28"/>
        </w:rPr>
        <w:t>1</w:t>
      </w:r>
      <w:r w:rsidR="00B44C13">
        <w:rPr>
          <w:b w:val="0"/>
          <w:sz w:val="28"/>
          <w:szCs w:val="28"/>
        </w:rPr>
        <w:t>8</w:t>
      </w:r>
      <w:r w:rsidR="0045534E" w:rsidRPr="00375A40">
        <w:rPr>
          <w:b w:val="0"/>
          <w:sz w:val="28"/>
          <w:szCs w:val="28"/>
        </w:rPr>
        <w:t>.</w:t>
      </w:r>
      <w:r w:rsidR="00470613" w:rsidRPr="00375A40">
        <w:rPr>
          <w:b w:val="0"/>
          <w:sz w:val="28"/>
          <w:szCs w:val="28"/>
        </w:rPr>
        <w:t>02</w:t>
      </w:r>
      <w:r w:rsidR="00D92997" w:rsidRPr="00375A40">
        <w:rPr>
          <w:b w:val="0"/>
          <w:sz w:val="28"/>
          <w:szCs w:val="28"/>
        </w:rPr>
        <w:t>.20</w:t>
      </w:r>
      <w:r w:rsidR="00383651" w:rsidRPr="00375A40">
        <w:rPr>
          <w:b w:val="0"/>
          <w:sz w:val="28"/>
          <w:szCs w:val="28"/>
        </w:rPr>
        <w:t>2</w:t>
      </w:r>
      <w:r w:rsidR="00477141" w:rsidRPr="00375A40">
        <w:rPr>
          <w:b w:val="0"/>
          <w:sz w:val="28"/>
          <w:szCs w:val="28"/>
        </w:rPr>
        <w:t>5</w:t>
      </w:r>
      <w:r w:rsidR="00EC5628">
        <w:rPr>
          <w:b w:val="0"/>
          <w:sz w:val="28"/>
          <w:szCs w:val="28"/>
        </w:rPr>
        <w:t xml:space="preserve">         </w:t>
      </w:r>
      <w:r w:rsidR="001A25A3" w:rsidRPr="0045534E">
        <w:rPr>
          <w:b w:val="0"/>
          <w:sz w:val="28"/>
          <w:szCs w:val="28"/>
        </w:rPr>
        <w:t xml:space="preserve">       </w:t>
      </w:r>
      <w:r w:rsidR="000A0656" w:rsidRPr="0045534E">
        <w:rPr>
          <w:b w:val="0"/>
          <w:sz w:val="28"/>
          <w:szCs w:val="28"/>
        </w:rPr>
        <w:t xml:space="preserve">   </w:t>
      </w:r>
      <w:r w:rsidR="001A25A3" w:rsidRPr="0045534E">
        <w:rPr>
          <w:b w:val="0"/>
          <w:sz w:val="28"/>
          <w:szCs w:val="28"/>
        </w:rPr>
        <w:t xml:space="preserve">  </w:t>
      </w:r>
      <w:r w:rsidR="000A0656" w:rsidRPr="0045534E">
        <w:rPr>
          <w:b w:val="0"/>
          <w:sz w:val="28"/>
          <w:szCs w:val="28"/>
        </w:rPr>
        <w:t xml:space="preserve">   </w:t>
      </w:r>
      <w:r w:rsidR="00F76B25" w:rsidRPr="0045534E">
        <w:rPr>
          <w:b w:val="0"/>
          <w:sz w:val="28"/>
          <w:szCs w:val="28"/>
        </w:rPr>
        <w:t xml:space="preserve"> </w:t>
      </w:r>
      <w:r w:rsidR="00F76B25" w:rsidRPr="0045534E">
        <w:rPr>
          <w:b w:val="0"/>
          <w:sz w:val="28"/>
          <w:szCs w:val="28"/>
        </w:rPr>
        <w:tab/>
        <w:t xml:space="preserve">   </w:t>
      </w:r>
      <w:r w:rsidR="00CA2AAE">
        <w:rPr>
          <w:b w:val="0"/>
          <w:sz w:val="28"/>
          <w:szCs w:val="28"/>
        </w:rPr>
        <w:tab/>
      </w:r>
      <w:r w:rsidR="00CA2AAE">
        <w:rPr>
          <w:b w:val="0"/>
          <w:sz w:val="28"/>
          <w:szCs w:val="28"/>
        </w:rPr>
        <w:tab/>
      </w:r>
      <w:r w:rsidR="00F76B25" w:rsidRPr="0045534E">
        <w:rPr>
          <w:b w:val="0"/>
          <w:sz w:val="28"/>
          <w:szCs w:val="28"/>
        </w:rPr>
        <w:tab/>
      </w:r>
      <w:r w:rsidR="00F76B25" w:rsidRPr="0045534E">
        <w:rPr>
          <w:b w:val="0"/>
          <w:sz w:val="28"/>
          <w:szCs w:val="28"/>
        </w:rPr>
        <w:tab/>
      </w:r>
      <w:r w:rsidR="001A25A3" w:rsidRPr="0045534E">
        <w:rPr>
          <w:b w:val="0"/>
          <w:sz w:val="28"/>
          <w:szCs w:val="28"/>
        </w:rPr>
        <w:t xml:space="preserve">    </w:t>
      </w:r>
      <w:r w:rsidR="00F76B25" w:rsidRPr="0045534E">
        <w:rPr>
          <w:b w:val="0"/>
          <w:sz w:val="28"/>
          <w:szCs w:val="28"/>
        </w:rPr>
        <w:t xml:space="preserve">      </w:t>
      </w:r>
      <w:r w:rsidR="001A25A3" w:rsidRPr="0045534E">
        <w:rPr>
          <w:b w:val="0"/>
          <w:sz w:val="28"/>
          <w:szCs w:val="28"/>
        </w:rPr>
        <w:t xml:space="preserve">  </w:t>
      </w:r>
      <w:r w:rsidR="00F76B25" w:rsidRPr="0045534E">
        <w:rPr>
          <w:b w:val="0"/>
          <w:sz w:val="28"/>
          <w:szCs w:val="28"/>
        </w:rPr>
        <w:t xml:space="preserve">        </w:t>
      </w:r>
      <w:r w:rsidR="001A25A3" w:rsidRPr="0045534E">
        <w:rPr>
          <w:b w:val="0"/>
          <w:sz w:val="28"/>
          <w:szCs w:val="28"/>
        </w:rPr>
        <w:t xml:space="preserve">  </w:t>
      </w:r>
      <w:r w:rsidR="00EC5628">
        <w:rPr>
          <w:b w:val="0"/>
          <w:sz w:val="28"/>
          <w:szCs w:val="28"/>
        </w:rPr>
        <w:t xml:space="preserve">      </w:t>
      </w:r>
      <w:r w:rsidR="00C519C3">
        <w:rPr>
          <w:b w:val="0"/>
          <w:sz w:val="28"/>
          <w:szCs w:val="28"/>
        </w:rPr>
        <w:t xml:space="preserve">   </w:t>
      </w:r>
      <w:r w:rsidR="00EC5628">
        <w:rPr>
          <w:b w:val="0"/>
          <w:sz w:val="28"/>
          <w:szCs w:val="28"/>
        </w:rPr>
        <w:t xml:space="preserve">  </w:t>
      </w:r>
      <w:r w:rsidR="00F76B25" w:rsidRPr="0045534E">
        <w:rPr>
          <w:b w:val="0"/>
          <w:sz w:val="28"/>
          <w:szCs w:val="28"/>
        </w:rPr>
        <w:t xml:space="preserve">№ </w:t>
      </w:r>
      <w:r w:rsidR="00B44C13">
        <w:rPr>
          <w:b w:val="0"/>
          <w:sz w:val="28"/>
          <w:szCs w:val="28"/>
        </w:rPr>
        <w:t>34</w:t>
      </w:r>
    </w:p>
    <w:p w:rsidR="00F76B25" w:rsidRPr="00274D02" w:rsidRDefault="00F46A5A" w:rsidP="0007621F">
      <w:pPr>
        <w:pStyle w:val="3"/>
        <w:tabs>
          <w:tab w:val="left" w:pos="2355"/>
        </w:tabs>
        <w:ind w:left="708"/>
        <w:jc w:val="both"/>
        <w:rPr>
          <w:b w:val="0"/>
          <w:sz w:val="28"/>
          <w:szCs w:val="28"/>
        </w:rPr>
      </w:pPr>
      <w:r>
        <w:rPr>
          <w:b w:val="0"/>
          <w:sz w:val="28"/>
          <w:szCs w:val="28"/>
        </w:rPr>
        <w:tab/>
      </w:r>
    </w:p>
    <w:p w:rsidR="00F76B25" w:rsidRPr="00274D02" w:rsidRDefault="00F76B25" w:rsidP="0007621F">
      <w:pPr>
        <w:pStyle w:val="3"/>
        <w:ind w:left="708"/>
        <w:jc w:val="both"/>
        <w:rPr>
          <w:b w:val="0"/>
          <w:sz w:val="28"/>
          <w:szCs w:val="28"/>
        </w:rPr>
      </w:pPr>
    </w:p>
    <w:p w:rsidR="00285BAB" w:rsidRDefault="00F4418E" w:rsidP="00285BAB">
      <w:pPr>
        <w:pStyle w:val="ConsPlusTitle"/>
        <w:ind w:left="708"/>
        <w:jc w:val="center"/>
        <w:rPr>
          <w:bCs w:val="0"/>
          <w:sz w:val="28"/>
          <w:szCs w:val="28"/>
        </w:rPr>
      </w:pPr>
      <w:r w:rsidRPr="00CA2AAE">
        <w:rPr>
          <w:bCs w:val="0"/>
          <w:sz w:val="28"/>
          <w:szCs w:val="28"/>
        </w:rPr>
        <w:t xml:space="preserve">Об утверждении </w:t>
      </w:r>
      <w:r w:rsidR="00285BAB">
        <w:rPr>
          <w:bCs w:val="0"/>
          <w:sz w:val="28"/>
          <w:szCs w:val="28"/>
        </w:rPr>
        <w:t xml:space="preserve">Перечня мероприятий по развитию </w:t>
      </w:r>
    </w:p>
    <w:p w:rsidR="00470613" w:rsidRPr="00CA2AAE" w:rsidRDefault="00285BAB" w:rsidP="00285BAB">
      <w:pPr>
        <w:pStyle w:val="ConsPlusTitle"/>
        <w:ind w:left="708"/>
        <w:jc w:val="center"/>
        <w:rPr>
          <w:bCs w:val="0"/>
          <w:sz w:val="28"/>
          <w:szCs w:val="28"/>
        </w:rPr>
      </w:pPr>
      <w:r>
        <w:rPr>
          <w:bCs w:val="0"/>
          <w:sz w:val="28"/>
          <w:szCs w:val="28"/>
        </w:rPr>
        <w:t>налогового потенциала</w:t>
      </w:r>
      <w:r w:rsidR="00470613" w:rsidRPr="00CA2AAE">
        <w:rPr>
          <w:bCs w:val="0"/>
          <w:sz w:val="28"/>
          <w:szCs w:val="28"/>
        </w:rPr>
        <w:t xml:space="preserve"> </w:t>
      </w:r>
      <w:r w:rsidR="00F4418E" w:rsidRPr="00CA2AAE">
        <w:rPr>
          <w:bCs w:val="0"/>
          <w:sz w:val="28"/>
          <w:szCs w:val="28"/>
        </w:rPr>
        <w:t>ЗАТО Озерный</w:t>
      </w:r>
    </w:p>
    <w:p w:rsidR="00AF2D99" w:rsidRPr="00CA2AAE" w:rsidRDefault="00F4418E" w:rsidP="0007621F">
      <w:pPr>
        <w:pStyle w:val="ConsPlusTitle"/>
        <w:ind w:left="708"/>
        <w:jc w:val="center"/>
        <w:rPr>
          <w:bCs w:val="0"/>
          <w:sz w:val="28"/>
          <w:szCs w:val="28"/>
        </w:rPr>
      </w:pPr>
      <w:r w:rsidRPr="00CA2AAE">
        <w:rPr>
          <w:bCs w:val="0"/>
          <w:sz w:val="28"/>
          <w:szCs w:val="28"/>
        </w:rPr>
        <w:t>Тверской области на 202</w:t>
      </w:r>
      <w:r w:rsidR="00477141">
        <w:rPr>
          <w:bCs w:val="0"/>
          <w:sz w:val="28"/>
          <w:szCs w:val="28"/>
        </w:rPr>
        <w:t>5</w:t>
      </w:r>
      <w:r w:rsidRPr="00CA2AAE">
        <w:rPr>
          <w:bCs w:val="0"/>
          <w:sz w:val="28"/>
          <w:szCs w:val="28"/>
        </w:rPr>
        <w:t xml:space="preserve"> год</w:t>
      </w:r>
    </w:p>
    <w:p w:rsidR="00F76B25" w:rsidRPr="00274D02" w:rsidRDefault="00F76B25" w:rsidP="0007621F">
      <w:pPr>
        <w:ind w:left="708"/>
        <w:rPr>
          <w:sz w:val="28"/>
          <w:szCs w:val="28"/>
        </w:rPr>
      </w:pPr>
    </w:p>
    <w:p w:rsidR="00F76B25" w:rsidRDefault="00F4418E" w:rsidP="00EC5628">
      <w:pPr>
        <w:ind w:firstLine="851"/>
        <w:jc w:val="both"/>
        <w:rPr>
          <w:sz w:val="28"/>
          <w:szCs w:val="28"/>
        </w:rPr>
      </w:pPr>
      <w:r>
        <w:rPr>
          <w:sz w:val="28"/>
          <w:szCs w:val="28"/>
        </w:rPr>
        <w:t xml:space="preserve">В </w:t>
      </w:r>
      <w:r w:rsidR="00A26A41">
        <w:rPr>
          <w:sz w:val="28"/>
          <w:szCs w:val="28"/>
        </w:rPr>
        <w:t>целя</w:t>
      </w:r>
      <w:r w:rsidR="003F7862">
        <w:rPr>
          <w:sz w:val="28"/>
          <w:szCs w:val="28"/>
        </w:rPr>
        <w:t>х повышения поступлений налоговых</w:t>
      </w:r>
      <w:r w:rsidR="00A26A41">
        <w:rPr>
          <w:sz w:val="28"/>
          <w:szCs w:val="28"/>
        </w:rPr>
        <w:t xml:space="preserve"> и неналоговых доходов в </w:t>
      </w:r>
      <w:proofErr w:type="gramStart"/>
      <w:r w:rsidR="00A26A41">
        <w:rPr>
          <w:sz w:val="28"/>
          <w:szCs w:val="28"/>
        </w:rPr>
        <w:t>бюджет</w:t>
      </w:r>
      <w:proofErr w:type="gramEnd"/>
      <w:r w:rsidR="00B25906">
        <w:rPr>
          <w:sz w:val="28"/>
          <w:szCs w:val="28"/>
        </w:rPr>
        <w:t xml:space="preserve"> ЗАТО Озерный Тверской </w:t>
      </w:r>
      <w:r w:rsidR="00B92661">
        <w:rPr>
          <w:sz w:val="28"/>
          <w:szCs w:val="28"/>
        </w:rPr>
        <w:t xml:space="preserve">области, руководствуясь </w:t>
      </w:r>
      <w:r w:rsidR="00470613" w:rsidRPr="00375A40">
        <w:rPr>
          <w:sz w:val="28"/>
          <w:szCs w:val="28"/>
        </w:rPr>
        <w:t>постановлением</w:t>
      </w:r>
      <w:r w:rsidR="00470613" w:rsidRPr="00C519C3">
        <w:rPr>
          <w:sz w:val="28"/>
          <w:szCs w:val="28"/>
        </w:rPr>
        <w:t xml:space="preserve"> администрации ЗАТО Озерный Тверской области от </w:t>
      </w:r>
      <w:r w:rsidR="00477141">
        <w:rPr>
          <w:sz w:val="28"/>
          <w:szCs w:val="28"/>
        </w:rPr>
        <w:t>28</w:t>
      </w:r>
      <w:r w:rsidR="00A124AC" w:rsidRPr="00C519C3">
        <w:rPr>
          <w:sz w:val="28"/>
          <w:szCs w:val="28"/>
        </w:rPr>
        <w:t>.1</w:t>
      </w:r>
      <w:r w:rsidR="00477141">
        <w:rPr>
          <w:sz w:val="28"/>
          <w:szCs w:val="28"/>
        </w:rPr>
        <w:t>0</w:t>
      </w:r>
      <w:r w:rsidR="00470613" w:rsidRPr="00C519C3">
        <w:rPr>
          <w:sz w:val="28"/>
          <w:szCs w:val="28"/>
        </w:rPr>
        <w:t>.202</w:t>
      </w:r>
      <w:r w:rsidR="00477141">
        <w:rPr>
          <w:sz w:val="28"/>
          <w:szCs w:val="28"/>
        </w:rPr>
        <w:t>4</w:t>
      </w:r>
      <w:r w:rsidR="00470613" w:rsidRPr="00C519C3">
        <w:rPr>
          <w:sz w:val="28"/>
          <w:szCs w:val="28"/>
        </w:rPr>
        <w:t xml:space="preserve"> № </w:t>
      </w:r>
      <w:r w:rsidR="00A124AC" w:rsidRPr="00C519C3">
        <w:rPr>
          <w:sz w:val="28"/>
          <w:szCs w:val="28"/>
        </w:rPr>
        <w:t>1</w:t>
      </w:r>
      <w:r w:rsidR="00477141">
        <w:rPr>
          <w:sz w:val="28"/>
          <w:szCs w:val="28"/>
        </w:rPr>
        <w:t>40</w:t>
      </w:r>
      <w:r w:rsidR="00470613" w:rsidRPr="00C519C3">
        <w:rPr>
          <w:sz w:val="28"/>
          <w:szCs w:val="28"/>
        </w:rPr>
        <w:t xml:space="preserve"> «Об утверждении основных направлений</w:t>
      </w:r>
      <w:r w:rsidR="00470613">
        <w:rPr>
          <w:sz w:val="28"/>
          <w:szCs w:val="28"/>
        </w:rPr>
        <w:t xml:space="preserve"> бюджетной и налоговой политики ЗАТО Озерный Тверской области </w:t>
      </w:r>
      <w:r w:rsidR="00470613" w:rsidRPr="00470613">
        <w:rPr>
          <w:sz w:val="28"/>
          <w:szCs w:val="28"/>
        </w:rPr>
        <w:t>н</w:t>
      </w:r>
      <w:r w:rsidR="00470613">
        <w:rPr>
          <w:sz w:val="28"/>
          <w:szCs w:val="28"/>
        </w:rPr>
        <w:t>а 202</w:t>
      </w:r>
      <w:r w:rsidR="00477141">
        <w:rPr>
          <w:sz w:val="28"/>
          <w:szCs w:val="28"/>
        </w:rPr>
        <w:t>5</w:t>
      </w:r>
      <w:r w:rsidR="00470613">
        <w:rPr>
          <w:sz w:val="28"/>
          <w:szCs w:val="28"/>
        </w:rPr>
        <w:t xml:space="preserve"> год и на плановый период </w:t>
      </w:r>
      <w:r w:rsidR="00470613" w:rsidRPr="00470613">
        <w:rPr>
          <w:sz w:val="28"/>
          <w:szCs w:val="28"/>
        </w:rPr>
        <w:t>202</w:t>
      </w:r>
      <w:r w:rsidR="00477141">
        <w:rPr>
          <w:sz w:val="28"/>
          <w:szCs w:val="28"/>
        </w:rPr>
        <w:t>6</w:t>
      </w:r>
      <w:r w:rsidR="00470613" w:rsidRPr="00470613">
        <w:rPr>
          <w:sz w:val="28"/>
          <w:szCs w:val="28"/>
        </w:rPr>
        <w:t xml:space="preserve"> и 202</w:t>
      </w:r>
      <w:r w:rsidR="00477141">
        <w:rPr>
          <w:sz w:val="28"/>
          <w:szCs w:val="28"/>
        </w:rPr>
        <w:t>7</w:t>
      </w:r>
      <w:r w:rsidR="00470613" w:rsidRPr="00470613">
        <w:rPr>
          <w:sz w:val="28"/>
          <w:szCs w:val="28"/>
        </w:rPr>
        <w:t xml:space="preserve"> годов</w:t>
      </w:r>
      <w:r w:rsidR="00470613">
        <w:rPr>
          <w:sz w:val="28"/>
          <w:szCs w:val="28"/>
        </w:rPr>
        <w:t>»</w:t>
      </w:r>
      <w:r w:rsidR="00956C6D">
        <w:rPr>
          <w:sz w:val="28"/>
          <w:szCs w:val="28"/>
        </w:rPr>
        <w:t>,</w:t>
      </w:r>
      <w:bookmarkStart w:id="0" w:name="_GoBack"/>
      <w:bookmarkEnd w:id="0"/>
      <w:r w:rsidR="00B92661">
        <w:rPr>
          <w:sz w:val="28"/>
          <w:szCs w:val="28"/>
        </w:rPr>
        <w:t xml:space="preserve"> администрация ЗАТО Озерный постановляет</w:t>
      </w:r>
      <w:r w:rsidR="00470613" w:rsidRPr="00383651">
        <w:rPr>
          <w:sz w:val="28"/>
          <w:szCs w:val="28"/>
        </w:rPr>
        <w:t>:</w:t>
      </w:r>
    </w:p>
    <w:p w:rsidR="00642EE8" w:rsidRPr="00274D02" w:rsidRDefault="00642EE8" w:rsidP="00A26A41">
      <w:pPr>
        <w:ind w:firstLine="708"/>
        <w:jc w:val="both"/>
        <w:rPr>
          <w:sz w:val="28"/>
          <w:szCs w:val="28"/>
        </w:rPr>
      </w:pPr>
    </w:p>
    <w:p w:rsidR="00A26A41" w:rsidRPr="00F76B25" w:rsidRDefault="00A26A41" w:rsidP="00375A40">
      <w:pPr>
        <w:pStyle w:val="ConsPlusTitle"/>
        <w:ind w:firstLine="851"/>
        <w:jc w:val="both"/>
        <w:rPr>
          <w:b w:val="0"/>
          <w:sz w:val="28"/>
          <w:szCs w:val="28"/>
        </w:rPr>
      </w:pPr>
      <w:r>
        <w:rPr>
          <w:b w:val="0"/>
          <w:sz w:val="28"/>
          <w:szCs w:val="28"/>
        </w:rPr>
        <w:t xml:space="preserve">1. Утвердить </w:t>
      </w:r>
      <w:r w:rsidR="00285BAB">
        <w:rPr>
          <w:b w:val="0"/>
          <w:sz w:val="28"/>
          <w:szCs w:val="28"/>
        </w:rPr>
        <w:t xml:space="preserve">Перечень мероприятий по развитию налогового </w:t>
      </w:r>
      <w:proofErr w:type="gramStart"/>
      <w:r w:rsidR="00285BAB">
        <w:rPr>
          <w:b w:val="0"/>
          <w:sz w:val="28"/>
          <w:szCs w:val="28"/>
        </w:rPr>
        <w:t>потенциала</w:t>
      </w:r>
      <w:proofErr w:type="gramEnd"/>
      <w:r w:rsidRPr="00F76B25">
        <w:rPr>
          <w:b w:val="0"/>
          <w:sz w:val="28"/>
          <w:szCs w:val="28"/>
        </w:rPr>
        <w:t xml:space="preserve"> </w:t>
      </w:r>
      <w:r>
        <w:rPr>
          <w:b w:val="0"/>
          <w:sz w:val="28"/>
          <w:szCs w:val="28"/>
        </w:rPr>
        <w:t xml:space="preserve">ЗАТО Озерный </w:t>
      </w:r>
      <w:r w:rsidR="00285BAB">
        <w:rPr>
          <w:b w:val="0"/>
          <w:sz w:val="28"/>
          <w:szCs w:val="28"/>
        </w:rPr>
        <w:t xml:space="preserve">Тверской области </w:t>
      </w:r>
      <w:r>
        <w:rPr>
          <w:b w:val="0"/>
          <w:sz w:val="28"/>
          <w:szCs w:val="28"/>
        </w:rPr>
        <w:t>на 202</w:t>
      </w:r>
      <w:r w:rsidR="00477141">
        <w:rPr>
          <w:b w:val="0"/>
          <w:sz w:val="28"/>
          <w:szCs w:val="28"/>
        </w:rPr>
        <w:t>5</w:t>
      </w:r>
      <w:r>
        <w:rPr>
          <w:b w:val="0"/>
          <w:sz w:val="28"/>
          <w:szCs w:val="28"/>
        </w:rPr>
        <w:t xml:space="preserve"> год согласно приложению</w:t>
      </w:r>
      <w:r w:rsidR="00223CBD">
        <w:rPr>
          <w:b w:val="0"/>
          <w:sz w:val="28"/>
          <w:szCs w:val="28"/>
        </w:rPr>
        <w:t xml:space="preserve"> (прилагается)</w:t>
      </w:r>
      <w:r>
        <w:rPr>
          <w:b w:val="0"/>
          <w:sz w:val="28"/>
          <w:szCs w:val="28"/>
        </w:rPr>
        <w:t>.</w:t>
      </w:r>
    </w:p>
    <w:p w:rsidR="00A26A41" w:rsidRDefault="00A26A41" w:rsidP="00375A40">
      <w:pPr>
        <w:autoSpaceDE w:val="0"/>
        <w:autoSpaceDN w:val="0"/>
        <w:adjustRightInd w:val="0"/>
        <w:ind w:firstLine="851"/>
        <w:jc w:val="both"/>
        <w:rPr>
          <w:sz w:val="28"/>
          <w:szCs w:val="28"/>
        </w:rPr>
      </w:pPr>
      <w:r>
        <w:rPr>
          <w:sz w:val="28"/>
          <w:szCs w:val="28"/>
        </w:rPr>
        <w:t>2</w:t>
      </w:r>
      <w:r w:rsidRPr="00977625">
        <w:rPr>
          <w:sz w:val="28"/>
          <w:szCs w:val="28"/>
        </w:rPr>
        <w:t>.</w:t>
      </w:r>
      <w:r>
        <w:rPr>
          <w:sz w:val="28"/>
          <w:szCs w:val="28"/>
        </w:rPr>
        <w:t xml:space="preserve"> Финансовому отделу администрации ЗАТО Озерный </w:t>
      </w:r>
      <w:r w:rsidR="003F7862">
        <w:rPr>
          <w:sz w:val="28"/>
          <w:szCs w:val="28"/>
        </w:rPr>
        <w:t xml:space="preserve">за </w:t>
      </w:r>
      <w:r w:rsidR="003F7862">
        <w:rPr>
          <w:sz w:val="28"/>
          <w:szCs w:val="28"/>
          <w:lang w:val="en-US"/>
        </w:rPr>
        <w:t>I</w:t>
      </w:r>
      <w:r w:rsidR="003F7862" w:rsidRPr="003F7862">
        <w:rPr>
          <w:sz w:val="28"/>
          <w:szCs w:val="28"/>
        </w:rPr>
        <w:t xml:space="preserve">, </w:t>
      </w:r>
      <w:r w:rsidR="003F7862">
        <w:rPr>
          <w:sz w:val="28"/>
          <w:szCs w:val="28"/>
          <w:lang w:val="en-US"/>
        </w:rPr>
        <w:t>II</w:t>
      </w:r>
      <w:r w:rsidR="003F7862" w:rsidRPr="003F7862">
        <w:rPr>
          <w:sz w:val="28"/>
          <w:szCs w:val="28"/>
        </w:rPr>
        <w:t xml:space="preserve">, </w:t>
      </w:r>
      <w:r w:rsidR="003F7862">
        <w:rPr>
          <w:sz w:val="28"/>
          <w:szCs w:val="28"/>
          <w:lang w:val="en-US"/>
        </w:rPr>
        <w:t>III</w:t>
      </w:r>
      <w:r w:rsidR="003F7862">
        <w:rPr>
          <w:sz w:val="28"/>
          <w:szCs w:val="28"/>
        </w:rPr>
        <w:t xml:space="preserve"> квартал текущего финансового года</w:t>
      </w:r>
      <w:r>
        <w:rPr>
          <w:sz w:val="28"/>
          <w:szCs w:val="28"/>
        </w:rPr>
        <w:t xml:space="preserve"> в срок </w:t>
      </w:r>
      <w:r w:rsidRPr="003F7862">
        <w:rPr>
          <w:sz w:val="28"/>
          <w:szCs w:val="28"/>
        </w:rPr>
        <w:t xml:space="preserve">не позднее </w:t>
      </w:r>
      <w:r w:rsidR="00167E1B">
        <w:rPr>
          <w:sz w:val="28"/>
          <w:szCs w:val="28"/>
        </w:rPr>
        <w:t>25</w:t>
      </w:r>
      <w:r w:rsidRPr="003F7862">
        <w:rPr>
          <w:sz w:val="28"/>
          <w:szCs w:val="28"/>
        </w:rPr>
        <w:t xml:space="preserve"> числа месяца</w:t>
      </w:r>
      <w:r w:rsidR="003F7862">
        <w:rPr>
          <w:sz w:val="28"/>
          <w:szCs w:val="28"/>
        </w:rPr>
        <w:t xml:space="preserve"> следующего за отчетным кварталом и за </w:t>
      </w:r>
      <w:r w:rsidR="003F7862">
        <w:rPr>
          <w:sz w:val="28"/>
          <w:szCs w:val="28"/>
          <w:lang w:val="en-US"/>
        </w:rPr>
        <w:t>IV</w:t>
      </w:r>
      <w:r w:rsidR="003F7862">
        <w:rPr>
          <w:sz w:val="28"/>
          <w:szCs w:val="28"/>
        </w:rPr>
        <w:t xml:space="preserve"> квартал текущего финансового года до 25 января очередного финансового года</w:t>
      </w:r>
      <w:r>
        <w:rPr>
          <w:sz w:val="28"/>
          <w:szCs w:val="28"/>
        </w:rPr>
        <w:t>, представлять в Министерство финансов Тверской области отчет о выполнении мероприятий, предусмотренным Планом.</w:t>
      </w:r>
    </w:p>
    <w:p w:rsidR="003F7862" w:rsidRDefault="00223CBD" w:rsidP="00375A40">
      <w:pPr>
        <w:autoSpaceDE w:val="0"/>
        <w:autoSpaceDN w:val="0"/>
        <w:adjustRightInd w:val="0"/>
        <w:ind w:firstLine="851"/>
        <w:jc w:val="both"/>
        <w:rPr>
          <w:sz w:val="28"/>
          <w:szCs w:val="28"/>
        </w:rPr>
      </w:pPr>
      <w:r>
        <w:rPr>
          <w:sz w:val="28"/>
          <w:szCs w:val="28"/>
        </w:rPr>
        <w:t>3</w:t>
      </w:r>
      <w:r w:rsidR="00A26A41">
        <w:rPr>
          <w:sz w:val="28"/>
          <w:szCs w:val="28"/>
        </w:rPr>
        <w:t xml:space="preserve">. </w:t>
      </w:r>
      <w:r w:rsidR="00A26A41" w:rsidRPr="00E67BA1">
        <w:rPr>
          <w:sz w:val="28"/>
          <w:szCs w:val="28"/>
        </w:rPr>
        <w:t xml:space="preserve">Контроль за исполнением настоящего постановления  возложить на заместителя Главы администрации ЗАТО Озерный по финансово-экономическим вопросам Н.З. </w:t>
      </w:r>
      <w:proofErr w:type="spellStart"/>
      <w:r w:rsidR="00A26A41" w:rsidRPr="00E67BA1">
        <w:rPr>
          <w:sz w:val="28"/>
          <w:szCs w:val="28"/>
        </w:rPr>
        <w:t>Савокину</w:t>
      </w:r>
      <w:proofErr w:type="spellEnd"/>
      <w:r w:rsidR="00A26A41" w:rsidRPr="00E67BA1">
        <w:rPr>
          <w:sz w:val="28"/>
          <w:szCs w:val="28"/>
        </w:rPr>
        <w:t>.</w:t>
      </w:r>
    </w:p>
    <w:p w:rsidR="00A26A41" w:rsidRPr="00223CBD" w:rsidRDefault="00223CBD" w:rsidP="00375A40">
      <w:pPr>
        <w:pStyle w:val="ConsPlusTitle"/>
        <w:ind w:firstLine="708"/>
        <w:jc w:val="both"/>
        <w:rPr>
          <w:color w:val="696969"/>
          <w:sz w:val="28"/>
          <w:szCs w:val="28"/>
        </w:rPr>
      </w:pPr>
      <w:r>
        <w:rPr>
          <w:b w:val="0"/>
          <w:sz w:val="28"/>
          <w:szCs w:val="28"/>
        </w:rPr>
        <w:t xml:space="preserve">  4</w:t>
      </w:r>
      <w:r w:rsidRPr="0045534E">
        <w:rPr>
          <w:b w:val="0"/>
          <w:sz w:val="28"/>
          <w:szCs w:val="28"/>
        </w:rPr>
        <w:t xml:space="preserve">. </w:t>
      </w:r>
      <w:r>
        <w:rPr>
          <w:b w:val="0"/>
          <w:sz w:val="28"/>
          <w:szCs w:val="28"/>
        </w:rPr>
        <w:t xml:space="preserve">Настоящее постановление опубликовать в газете «Дни Озерного» и разместить на официальном сайте муниципального </w:t>
      </w:r>
      <w:proofErr w:type="gramStart"/>
      <w:r>
        <w:rPr>
          <w:b w:val="0"/>
          <w:sz w:val="28"/>
          <w:szCs w:val="28"/>
        </w:rPr>
        <w:t>образования</w:t>
      </w:r>
      <w:proofErr w:type="gramEnd"/>
      <w:r>
        <w:rPr>
          <w:b w:val="0"/>
          <w:sz w:val="28"/>
          <w:szCs w:val="28"/>
        </w:rPr>
        <w:t xml:space="preserve"> ЗАТО Озерный в сети Интернет (</w:t>
      </w:r>
      <w:r>
        <w:rPr>
          <w:b w:val="0"/>
          <w:sz w:val="28"/>
          <w:szCs w:val="28"/>
          <w:lang w:val="en-US"/>
        </w:rPr>
        <w:t>www</w:t>
      </w:r>
      <w:r w:rsidRPr="0045534E">
        <w:rPr>
          <w:b w:val="0"/>
          <w:sz w:val="28"/>
          <w:szCs w:val="28"/>
        </w:rPr>
        <w:t>.</w:t>
      </w:r>
      <w:proofErr w:type="spellStart"/>
      <w:r>
        <w:rPr>
          <w:b w:val="0"/>
          <w:sz w:val="28"/>
          <w:szCs w:val="28"/>
          <w:lang w:val="en-US"/>
        </w:rPr>
        <w:t>ozerny</w:t>
      </w:r>
      <w:proofErr w:type="spellEnd"/>
      <w:r w:rsidRPr="0045534E">
        <w:rPr>
          <w:b w:val="0"/>
          <w:sz w:val="28"/>
          <w:szCs w:val="28"/>
        </w:rPr>
        <w:t>.</w:t>
      </w:r>
      <w:proofErr w:type="spellStart"/>
      <w:r>
        <w:rPr>
          <w:b w:val="0"/>
          <w:sz w:val="28"/>
          <w:szCs w:val="28"/>
          <w:lang w:val="en-US"/>
        </w:rPr>
        <w:t>ru</w:t>
      </w:r>
      <w:proofErr w:type="spellEnd"/>
      <w:r>
        <w:rPr>
          <w:b w:val="0"/>
          <w:sz w:val="28"/>
          <w:szCs w:val="28"/>
        </w:rPr>
        <w:t>).</w:t>
      </w:r>
    </w:p>
    <w:p w:rsidR="00B92661" w:rsidRDefault="00B92661" w:rsidP="003F7862">
      <w:pPr>
        <w:pStyle w:val="3"/>
        <w:spacing w:after="240"/>
        <w:jc w:val="left"/>
        <w:rPr>
          <w:b w:val="0"/>
          <w:bCs/>
          <w:sz w:val="28"/>
          <w:szCs w:val="28"/>
        </w:rPr>
      </w:pPr>
    </w:p>
    <w:p w:rsidR="00375A40" w:rsidRDefault="00375A40" w:rsidP="00A26A41">
      <w:pPr>
        <w:pStyle w:val="3"/>
        <w:jc w:val="left"/>
        <w:rPr>
          <w:b w:val="0"/>
          <w:bCs/>
          <w:sz w:val="28"/>
          <w:szCs w:val="28"/>
        </w:rPr>
      </w:pPr>
    </w:p>
    <w:p w:rsidR="00B44C13" w:rsidRPr="00B44C13" w:rsidRDefault="00B44C13" w:rsidP="00B44C13">
      <w:pPr>
        <w:pStyle w:val="3"/>
        <w:jc w:val="both"/>
        <w:rPr>
          <w:b w:val="0"/>
          <w:bCs/>
          <w:sz w:val="28"/>
          <w:szCs w:val="28"/>
        </w:rPr>
      </w:pPr>
      <w:proofErr w:type="gramStart"/>
      <w:r w:rsidRPr="00B44C13">
        <w:rPr>
          <w:b w:val="0"/>
          <w:bCs/>
          <w:sz w:val="28"/>
          <w:szCs w:val="28"/>
        </w:rPr>
        <w:t>Исполняющий</w:t>
      </w:r>
      <w:proofErr w:type="gramEnd"/>
      <w:r w:rsidRPr="00B44C13">
        <w:rPr>
          <w:b w:val="0"/>
          <w:bCs/>
          <w:sz w:val="28"/>
          <w:szCs w:val="28"/>
        </w:rPr>
        <w:t xml:space="preserve"> обязанности главы </w:t>
      </w:r>
    </w:p>
    <w:p w:rsidR="00B44C13" w:rsidRDefault="00B44C13" w:rsidP="00B44C13">
      <w:pPr>
        <w:pStyle w:val="3"/>
        <w:jc w:val="both"/>
        <w:rPr>
          <w:b w:val="0"/>
          <w:bCs/>
          <w:sz w:val="28"/>
          <w:szCs w:val="28"/>
        </w:rPr>
      </w:pPr>
      <w:proofErr w:type="gramStart"/>
      <w:r w:rsidRPr="00B44C13">
        <w:rPr>
          <w:b w:val="0"/>
          <w:bCs/>
          <w:sz w:val="28"/>
          <w:szCs w:val="28"/>
        </w:rPr>
        <w:t>администрации</w:t>
      </w:r>
      <w:proofErr w:type="gramEnd"/>
      <w:r w:rsidRPr="00B44C13">
        <w:rPr>
          <w:b w:val="0"/>
          <w:bCs/>
          <w:sz w:val="28"/>
          <w:szCs w:val="28"/>
        </w:rPr>
        <w:t xml:space="preserve"> ЗАТО Оз</w:t>
      </w:r>
      <w:r>
        <w:rPr>
          <w:b w:val="0"/>
          <w:bCs/>
          <w:sz w:val="28"/>
          <w:szCs w:val="28"/>
        </w:rPr>
        <w:t xml:space="preserve">ерный            </w:t>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t xml:space="preserve">   </w:t>
      </w:r>
      <w:r w:rsidRPr="00B44C13">
        <w:rPr>
          <w:b w:val="0"/>
          <w:bCs/>
          <w:sz w:val="28"/>
          <w:szCs w:val="28"/>
        </w:rPr>
        <w:t xml:space="preserve"> А. Н. Комаров</w:t>
      </w:r>
    </w:p>
    <w:p w:rsidR="00B92661" w:rsidRDefault="00B92661" w:rsidP="00B44C13">
      <w:pPr>
        <w:pStyle w:val="3"/>
        <w:jc w:val="both"/>
        <w:rPr>
          <w:b w:val="0"/>
          <w:bCs/>
          <w:sz w:val="28"/>
          <w:szCs w:val="28"/>
        </w:rPr>
      </w:pPr>
    </w:p>
    <w:p w:rsidR="006E757D" w:rsidRDefault="006E757D" w:rsidP="00C1327B">
      <w:pPr>
        <w:jc w:val="right"/>
        <w:rPr>
          <w:color w:val="000000"/>
          <w:sz w:val="28"/>
          <w:szCs w:val="28"/>
        </w:rPr>
        <w:sectPr w:rsidR="006E757D" w:rsidSect="00375A40">
          <w:pgSz w:w="11906" w:h="16838"/>
          <w:pgMar w:top="1134" w:right="851" w:bottom="851" w:left="1134" w:header="709" w:footer="709" w:gutter="0"/>
          <w:cols w:space="708"/>
          <w:docGrid w:linePitch="360"/>
        </w:sectPr>
      </w:pPr>
    </w:p>
    <w:p w:rsidR="00285BAB" w:rsidRDefault="00285BAB" w:rsidP="006E757D">
      <w:pPr>
        <w:rPr>
          <w:color w:val="000000"/>
          <w:sz w:val="28"/>
          <w:szCs w:val="28"/>
        </w:rPr>
      </w:pPr>
    </w:p>
    <w:p w:rsidR="00C1327B" w:rsidRPr="006E757D" w:rsidRDefault="00C1327B" w:rsidP="00C1327B">
      <w:pPr>
        <w:jc w:val="right"/>
        <w:rPr>
          <w:color w:val="000000"/>
          <w:sz w:val="28"/>
          <w:szCs w:val="28"/>
        </w:rPr>
      </w:pPr>
      <w:r w:rsidRPr="006E757D">
        <w:rPr>
          <w:color w:val="000000"/>
          <w:sz w:val="28"/>
          <w:szCs w:val="28"/>
        </w:rPr>
        <w:t xml:space="preserve">Приложение </w:t>
      </w:r>
    </w:p>
    <w:p w:rsidR="00C1327B" w:rsidRPr="006E757D" w:rsidRDefault="00C1327B" w:rsidP="00C1327B">
      <w:pPr>
        <w:jc w:val="right"/>
        <w:rPr>
          <w:color w:val="000000"/>
          <w:sz w:val="28"/>
          <w:szCs w:val="28"/>
        </w:rPr>
      </w:pPr>
      <w:r w:rsidRPr="006E757D">
        <w:rPr>
          <w:color w:val="000000"/>
          <w:sz w:val="28"/>
          <w:szCs w:val="28"/>
        </w:rPr>
        <w:t xml:space="preserve">к постановлению администрации </w:t>
      </w:r>
    </w:p>
    <w:p w:rsidR="00285BAB" w:rsidRDefault="00C1327B" w:rsidP="00C1327B">
      <w:pPr>
        <w:jc w:val="right"/>
        <w:rPr>
          <w:color w:val="000000"/>
          <w:sz w:val="28"/>
          <w:szCs w:val="28"/>
        </w:rPr>
      </w:pPr>
      <w:r w:rsidRPr="006E757D">
        <w:rPr>
          <w:color w:val="000000"/>
          <w:sz w:val="28"/>
          <w:szCs w:val="28"/>
        </w:rPr>
        <w:t xml:space="preserve">ЗАТО </w:t>
      </w:r>
      <w:r w:rsidRPr="00B44C13">
        <w:rPr>
          <w:color w:val="000000"/>
          <w:sz w:val="28"/>
          <w:szCs w:val="28"/>
        </w:rPr>
        <w:t xml:space="preserve">Озерный от </w:t>
      </w:r>
      <w:r w:rsidR="00375A40" w:rsidRPr="00B44C13">
        <w:rPr>
          <w:color w:val="000000"/>
          <w:sz w:val="28"/>
          <w:szCs w:val="28"/>
        </w:rPr>
        <w:t>1</w:t>
      </w:r>
      <w:r w:rsidR="00B44C13" w:rsidRPr="00B44C13">
        <w:rPr>
          <w:color w:val="000000"/>
          <w:sz w:val="28"/>
          <w:szCs w:val="28"/>
        </w:rPr>
        <w:t>8</w:t>
      </w:r>
      <w:r w:rsidRPr="00B44C13">
        <w:rPr>
          <w:color w:val="000000"/>
          <w:sz w:val="28"/>
          <w:szCs w:val="28"/>
        </w:rPr>
        <w:t>.02.202</w:t>
      </w:r>
      <w:r w:rsidR="00477141" w:rsidRPr="00B44C13">
        <w:rPr>
          <w:color w:val="000000"/>
          <w:sz w:val="28"/>
          <w:szCs w:val="28"/>
        </w:rPr>
        <w:t>5</w:t>
      </w:r>
      <w:r w:rsidRPr="00B44C13">
        <w:rPr>
          <w:color w:val="000000"/>
          <w:sz w:val="28"/>
          <w:szCs w:val="28"/>
        </w:rPr>
        <w:t xml:space="preserve"> г. № </w:t>
      </w:r>
      <w:r w:rsidR="00B44C13" w:rsidRPr="00B44C13">
        <w:rPr>
          <w:color w:val="000000"/>
          <w:sz w:val="28"/>
          <w:szCs w:val="28"/>
        </w:rPr>
        <w:t>34</w:t>
      </w:r>
    </w:p>
    <w:p w:rsidR="00285BAB" w:rsidRDefault="00285BAB" w:rsidP="00C1327B">
      <w:pPr>
        <w:jc w:val="center"/>
        <w:rPr>
          <w:color w:val="000000"/>
          <w:sz w:val="28"/>
          <w:szCs w:val="28"/>
        </w:rPr>
      </w:pPr>
      <w:r>
        <w:rPr>
          <w:color w:val="000000"/>
          <w:sz w:val="28"/>
          <w:szCs w:val="28"/>
        </w:rPr>
        <w:t xml:space="preserve">Перечень мероприятий по развитию налогового потенциала  </w:t>
      </w:r>
    </w:p>
    <w:p w:rsidR="00C1327B" w:rsidRPr="00C1327B" w:rsidRDefault="00285BAB" w:rsidP="00C1327B">
      <w:pPr>
        <w:jc w:val="center"/>
        <w:rPr>
          <w:color w:val="000000"/>
          <w:sz w:val="28"/>
          <w:szCs w:val="28"/>
        </w:rPr>
      </w:pPr>
      <w:r w:rsidRPr="00285BAB">
        <w:rPr>
          <w:color w:val="000000"/>
          <w:sz w:val="28"/>
          <w:szCs w:val="28"/>
        </w:rPr>
        <w:t>ЗАТО Озерный Тверской области</w:t>
      </w:r>
    </w:p>
    <w:p w:rsidR="00C1327B" w:rsidRDefault="00C1327B" w:rsidP="00C1327B">
      <w:pPr>
        <w:jc w:val="center"/>
        <w:rPr>
          <w:color w:val="000000"/>
          <w:sz w:val="28"/>
          <w:szCs w:val="28"/>
        </w:rPr>
      </w:pPr>
      <w:r w:rsidRPr="00C1327B">
        <w:rPr>
          <w:color w:val="000000"/>
          <w:sz w:val="28"/>
          <w:szCs w:val="28"/>
        </w:rPr>
        <w:t>на 202</w:t>
      </w:r>
      <w:r w:rsidR="00477141">
        <w:rPr>
          <w:color w:val="000000"/>
          <w:sz w:val="28"/>
          <w:szCs w:val="28"/>
        </w:rPr>
        <w:t>5</w:t>
      </w:r>
      <w:r w:rsidRPr="00C1327B">
        <w:rPr>
          <w:color w:val="000000"/>
          <w:sz w:val="28"/>
          <w:szCs w:val="28"/>
        </w:rPr>
        <w:t xml:space="preserve"> год</w:t>
      </w:r>
    </w:p>
    <w:p w:rsidR="006E757D" w:rsidRDefault="006E757D" w:rsidP="00C1327B">
      <w:pPr>
        <w:jc w:val="center"/>
        <w:rPr>
          <w:color w:val="000000"/>
          <w:sz w:val="28"/>
          <w:szCs w:val="28"/>
        </w:rPr>
      </w:pPr>
    </w:p>
    <w:tbl>
      <w:tblPr>
        <w:tblW w:w="15569" w:type="dxa"/>
        <w:tblInd w:w="-459" w:type="dxa"/>
        <w:tblLayout w:type="fixed"/>
        <w:tblLook w:val="04A0"/>
      </w:tblPr>
      <w:tblGrid>
        <w:gridCol w:w="740"/>
        <w:gridCol w:w="2095"/>
        <w:gridCol w:w="5505"/>
        <w:gridCol w:w="2693"/>
        <w:gridCol w:w="4536"/>
      </w:tblGrid>
      <w:tr w:rsidR="00C1327B" w:rsidRPr="00C1327B" w:rsidTr="00A17A67">
        <w:trPr>
          <w:trHeight w:val="1050"/>
          <w:tblHeader/>
        </w:trPr>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rPr>
                <w:color w:val="000000"/>
              </w:rPr>
            </w:pPr>
            <w:bookmarkStart w:id="1" w:name="RANGE!A1:E75"/>
            <w:bookmarkEnd w:id="1"/>
          </w:p>
          <w:p w:rsidR="00C1327B" w:rsidRPr="00913FE5" w:rsidRDefault="00C1327B" w:rsidP="00C1327B">
            <w:pPr>
              <w:jc w:val="center"/>
              <w:rPr>
                <w:color w:val="000000"/>
              </w:rPr>
            </w:pPr>
            <w:r w:rsidRPr="00913FE5">
              <w:rPr>
                <w:color w:val="000000"/>
              </w:rPr>
              <w:t>№</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C1327B" w:rsidRPr="00913FE5" w:rsidRDefault="00C1327B" w:rsidP="00A17A67">
            <w:pPr>
              <w:jc w:val="center"/>
              <w:rPr>
                <w:color w:val="000000"/>
              </w:rPr>
            </w:pPr>
            <w:r w:rsidRPr="00913FE5">
              <w:rPr>
                <w:color w:val="000000"/>
              </w:rPr>
              <w:t>Направление</w:t>
            </w:r>
          </w:p>
        </w:tc>
        <w:tc>
          <w:tcPr>
            <w:tcW w:w="5505" w:type="dxa"/>
            <w:tcBorders>
              <w:top w:val="single" w:sz="4" w:space="0" w:color="auto"/>
              <w:left w:val="nil"/>
              <w:bottom w:val="single" w:sz="4" w:space="0" w:color="auto"/>
              <w:right w:val="single" w:sz="4" w:space="0" w:color="auto"/>
            </w:tcBorders>
            <w:shd w:val="clear" w:color="000000" w:fill="FFFFFF"/>
            <w:vAlign w:val="center"/>
            <w:hideMark/>
          </w:tcPr>
          <w:p w:rsidR="00C1327B" w:rsidRPr="00913FE5" w:rsidRDefault="00C1327B" w:rsidP="00A17A67">
            <w:pPr>
              <w:jc w:val="center"/>
              <w:rPr>
                <w:color w:val="000000"/>
              </w:rPr>
            </w:pPr>
            <w:r w:rsidRPr="00913FE5">
              <w:rPr>
                <w:color w:val="000000"/>
              </w:rPr>
              <w:t>Наименование мероприятия</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C1327B" w:rsidRPr="00913FE5" w:rsidRDefault="00C1327B" w:rsidP="00A17A67">
            <w:pPr>
              <w:jc w:val="center"/>
              <w:rPr>
                <w:color w:val="000000"/>
              </w:rPr>
            </w:pPr>
            <w:r w:rsidRPr="00913FE5">
              <w:rPr>
                <w:color w:val="000000"/>
              </w:rPr>
              <w:t>Срок выполнения / отчётная дата</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C1327B" w:rsidRPr="00913FE5" w:rsidRDefault="00C1327B" w:rsidP="00A17A67">
            <w:pPr>
              <w:jc w:val="center"/>
              <w:rPr>
                <w:color w:val="000000"/>
              </w:rPr>
            </w:pPr>
            <w:r w:rsidRPr="00913FE5">
              <w:rPr>
                <w:color w:val="000000"/>
              </w:rPr>
              <w:t>Критерии определения эффективности выполнения мероприятия</w:t>
            </w:r>
          </w:p>
        </w:tc>
      </w:tr>
      <w:tr w:rsidR="003D53FD" w:rsidRPr="00C1327B" w:rsidTr="003D53FD">
        <w:trPr>
          <w:trHeight w:val="205"/>
          <w:tblHeader/>
        </w:trPr>
        <w:tc>
          <w:tcPr>
            <w:tcW w:w="740" w:type="dxa"/>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rPr>
                <w:b/>
                <w:bCs/>
                <w:color w:val="000000"/>
              </w:rPr>
            </w:pPr>
            <w:r w:rsidRPr="00913FE5">
              <w:rPr>
                <w:b/>
                <w:bCs/>
                <w:color w:val="000000"/>
              </w:rPr>
              <w:t>1</w:t>
            </w:r>
          </w:p>
        </w:tc>
        <w:tc>
          <w:tcPr>
            <w:tcW w:w="2095"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center"/>
              <w:rPr>
                <w:b/>
                <w:bCs/>
                <w:color w:val="000000"/>
              </w:rPr>
            </w:pPr>
            <w:r w:rsidRPr="00913FE5">
              <w:rPr>
                <w:b/>
                <w:bCs/>
                <w:color w:val="000000"/>
              </w:rPr>
              <w:t>2</w:t>
            </w:r>
          </w:p>
        </w:tc>
        <w:tc>
          <w:tcPr>
            <w:tcW w:w="5505"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center"/>
              <w:rPr>
                <w:b/>
                <w:bCs/>
                <w:color w:val="000000"/>
              </w:rPr>
            </w:pPr>
            <w:r w:rsidRPr="00913FE5">
              <w:rPr>
                <w:b/>
                <w:bCs/>
                <w:color w:val="000000"/>
              </w:rPr>
              <w:t>3</w:t>
            </w:r>
          </w:p>
        </w:tc>
        <w:tc>
          <w:tcPr>
            <w:tcW w:w="2693"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center"/>
              <w:rPr>
                <w:b/>
                <w:bCs/>
                <w:color w:val="000000"/>
              </w:rPr>
            </w:pPr>
            <w:r w:rsidRPr="00913FE5">
              <w:rPr>
                <w:b/>
                <w:bCs/>
                <w:color w:val="000000"/>
              </w:rPr>
              <w:t>4</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center"/>
              <w:rPr>
                <w:b/>
                <w:bCs/>
                <w:color w:val="000000"/>
              </w:rPr>
            </w:pPr>
            <w:r w:rsidRPr="00913FE5">
              <w:rPr>
                <w:b/>
                <w:bCs/>
                <w:color w:val="000000"/>
              </w:rPr>
              <w:t>5</w:t>
            </w:r>
          </w:p>
        </w:tc>
      </w:tr>
      <w:tr w:rsidR="00C1327B" w:rsidRPr="00C1327B" w:rsidTr="00C1327B">
        <w:trPr>
          <w:trHeight w:val="375"/>
        </w:trPr>
        <w:tc>
          <w:tcPr>
            <w:tcW w:w="740" w:type="dxa"/>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rPr>
                <w:b/>
                <w:bCs/>
                <w:color w:val="000000"/>
              </w:rPr>
            </w:pPr>
            <w:r w:rsidRPr="00913FE5">
              <w:rPr>
                <w:b/>
                <w:bCs/>
                <w:color w:val="000000"/>
              </w:rPr>
              <w:t>1.</w:t>
            </w:r>
          </w:p>
        </w:tc>
        <w:tc>
          <w:tcPr>
            <w:tcW w:w="14829" w:type="dxa"/>
            <w:gridSpan w:val="4"/>
            <w:tcBorders>
              <w:top w:val="single" w:sz="4" w:space="0" w:color="auto"/>
              <w:left w:val="nil"/>
              <w:bottom w:val="single" w:sz="4" w:space="0" w:color="auto"/>
              <w:right w:val="single" w:sz="4" w:space="0" w:color="auto"/>
            </w:tcBorders>
            <w:shd w:val="clear" w:color="000000" w:fill="FFFFFF"/>
            <w:hideMark/>
          </w:tcPr>
          <w:p w:rsidR="00C1327B" w:rsidRPr="00913FE5" w:rsidRDefault="00C1327B" w:rsidP="00C1327B">
            <w:pPr>
              <w:jc w:val="center"/>
              <w:rPr>
                <w:b/>
                <w:bCs/>
                <w:color w:val="000000"/>
              </w:rPr>
            </w:pPr>
            <w:r w:rsidRPr="00913FE5">
              <w:rPr>
                <w:b/>
                <w:bCs/>
                <w:color w:val="000000"/>
              </w:rPr>
              <w:t>Мероприятия по увеличению поступления налоговых доходов</w:t>
            </w:r>
          </w:p>
        </w:tc>
      </w:tr>
      <w:tr w:rsidR="00C1327B" w:rsidRPr="00C1327B" w:rsidTr="00C1327B">
        <w:trPr>
          <w:trHeight w:val="1290"/>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pPr>
            <w:r w:rsidRPr="00913FE5">
              <w:t>1.1.</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r w:rsidRPr="00913FE5">
              <w:t>Вовлечение объектов недвижимости в налоговый оборот</w:t>
            </w:r>
          </w:p>
        </w:tc>
        <w:tc>
          <w:tcPr>
            <w:tcW w:w="5505" w:type="dxa"/>
            <w:vMerge w:val="restart"/>
            <w:tcBorders>
              <w:top w:val="nil"/>
              <w:left w:val="single" w:sz="4" w:space="0" w:color="auto"/>
              <w:bottom w:val="single" w:sz="4" w:space="0" w:color="auto"/>
              <w:right w:val="single" w:sz="4" w:space="0" w:color="auto"/>
            </w:tcBorders>
            <w:shd w:val="clear" w:color="auto" w:fill="auto"/>
            <w:hideMark/>
          </w:tcPr>
          <w:p w:rsidR="00C1327B" w:rsidRPr="00913FE5" w:rsidRDefault="00C1327B" w:rsidP="00C1327B">
            <w:pPr>
              <w:jc w:val="both"/>
            </w:pPr>
            <w:r w:rsidRPr="00913FE5">
              <w:t xml:space="preserve">1.1.1. Проведение работ по определению, уточнению характеристик объектов недвижимости с целью вовлечения их в налоговый оборот, предоставление сведений об уточнении объектов недвижимости в территориальные отделы Управления Федеральной службы государственной регистрации, кадастра и картографии по Тверской области (далее - территориальные отделы Управления </w:t>
            </w:r>
            <w:proofErr w:type="spellStart"/>
            <w:r w:rsidRPr="00913FE5">
              <w:t>Росреестра</w:t>
            </w:r>
            <w:proofErr w:type="spellEnd"/>
            <w:r w:rsidRPr="00913FE5">
              <w:t>) в целях внесения в Единый государственный реестр недвижимости (далее - ЕГРН) сведений, необходимых для определения кадастровой стоимости (налоговой базы) объектов недвижимости</w:t>
            </w:r>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913FE5" w:rsidRDefault="00C1327B" w:rsidP="00C1327B">
            <w:pPr>
              <w:jc w:val="center"/>
            </w:pPr>
            <w:r w:rsidRPr="00913FE5">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Количество представленных в территориальные отделы Управления </w:t>
            </w:r>
            <w:proofErr w:type="spellStart"/>
            <w:r w:rsidRPr="00913FE5">
              <w:t>Росреестра</w:t>
            </w:r>
            <w:proofErr w:type="spellEnd"/>
            <w:r w:rsidRPr="00913FE5">
              <w:t xml:space="preserve"> сведений об уточнении земельных участков с отсутствующими или неточными характеристиками (единиц)</w:t>
            </w:r>
          </w:p>
        </w:tc>
      </w:tr>
      <w:tr w:rsidR="00C1327B" w:rsidRPr="00C1327B" w:rsidTr="00C1327B">
        <w:trPr>
          <w:trHeight w:val="133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Количество представленных в территориальные отделы Управления </w:t>
            </w:r>
            <w:proofErr w:type="spellStart"/>
            <w:r w:rsidRPr="00913FE5">
              <w:t>Росреестра</w:t>
            </w:r>
            <w:proofErr w:type="spellEnd"/>
            <w:r w:rsidRPr="00913FE5">
              <w:t xml:space="preserve"> сведений об уточнении объектов недвижимости (за исключением земельных участков) с отсутствующими или неточными характеристиками (единиц)</w:t>
            </w:r>
          </w:p>
        </w:tc>
      </w:tr>
      <w:tr w:rsidR="00C1327B" w:rsidRPr="00C1327B" w:rsidTr="00C1327B">
        <w:trPr>
          <w:trHeight w:val="102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auto" w:fill="auto"/>
            <w:hideMark/>
          </w:tcPr>
          <w:p w:rsidR="00C1327B" w:rsidRPr="00913FE5" w:rsidRDefault="00C1327B" w:rsidP="00C1327B">
            <w:pPr>
              <w:jc w:val="both"/>
            </w:pPr>
            <w:r w:rsidRPr="00913FE5">
              <w:t xml:space="preserve">1.1.2. Проведение работ по выявлению правообладателей ранее учтенных объектов недвижимости, предоставление соответствующих сведений в территориальные отделы Управления </w:t>
            </w:r>
            <w:proofErr w:type="spellStart"/>
            <w:r w:rsidRPr="00913FE5">
              <w:t>Росреестра</w:t>
            </w:r>
            <w:proofErr w:type="spellEnd"/>
            <w:r w:rsidRPr="00913FE5">
              <w:t xml:space="preserve"> в целях внесения в ЕГРН сведений о выявленных правообладателях ранее учтенных объектов недвижимости.</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Количество представленных в территориальные отделы Управления </w:t>
            </w:r>
            <w:proofErr w:type="spellStart"/>
            <w:r w:rsidRPr="00913FE5">
              <w:t>Росреестра</w:t>
            </w:r>
            <w:proofErr w:type="spellEnd"/>
            <w:r w:rsidRPr="00913FE5">
              <w:t xml:space="preserve"> сведений о выявленных правообладателях ранее учтенных земельных участков (единиц)</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Количество представленных в территориальные отделы Управления </w:t>
            </w:r>
            <w:proofErr w:type="spellStart"/>
            <w:r w:rsidRPr="00913FE5">
              <w:t>Росреестра</w:t>
            </w:r>
            <w:proofErr w:type="spellEnd"/>
            <w:r w:rsidRPr="00913FE5">
              <w:t xml:space="preserve"> сведений о выявленных правообладателях ранее учтенных объектов недвижимости (за исключением земельных участков) (единиц)</w:t>
            </w:r>
          </w:p>
        </w:tc>
      </w:tr>
      <w:tr w:rsidR="00C1327B" w:rsidRPr="00C1327B" w:rsidTr="00C1327B">
        <w:trPr>
          <w:trHeight w:val="88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C1327B">
        <w:trPr>
          <w:trHeight w:val="124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1.1.3. Выявление объектов недвижимости, принадлежащих физическим лицам, права собственности на которые не зарегистрированы, и проведение разъяснительной работы с гражданами - владельцами незарегистрированных объектов недвижимости по вопросу регистрации права собственности на данные объекты</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Количество представленных в территориальные отделы Управления </w:t>
            </w:r>
            <w:proofErr w:type="spellStart"/>
            <w:r w:rsidRPr="00913FE5">
              <w:t>Росреестра</w:t>
            </w:r>
            <w:proofErr w:type="spellEnd"/>
            <w:r w:rsidRPr="00913FE5">
              <w:t xml:space="preserve"> сведений о выявленных объектах недвижимости, принадлежащих физическим лицам, сведения о которых отсутствуют в ЕГРН (единиц)</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мероприятий, проведенных с гражданами - владельцами незарегистрированных объектов недвижимости по вопросу регистрации права собственности на данные объекты (единиц)</w:t>
            </w:r>
          </w:p>
        </w:tc>
      </w:tr>
      <w:tr w:rsidR="00C1327B" w:rsidRPr="00C1327B" w:rsidTr="00C1327B">
        <w:trPr>
          <w:trHeight w:val="75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913FE5">
        <w:trPr>
          <w:trHeight w:val="1768"/>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1.1.4. Обеспечение достоверности, полноты и актуальности сведений, содержащихся в Федеральной информационной адресной системе (далее - ФИАС)</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объектов недвижимости, в отношении которых проведена работа по присвоению адресной части в соответствии с требованием законодательства, и внесение данных сведений в ФИАС (единиц)</w:t>
            </w:r>
          </w:p>
        </w:tc>
      </w:tr>
      <w:tr w:rsidR="00C1327B" w:rsidRPr="00C1327B" w:rsidTr="003D53FD">
        <w:trPr>
          <w:trHeight w:val="676"/>
        </w:trPr>
        <w:tc>
          <w:tcPr>
            <w:tcW w:w="740" w:type="dxa"/>
            <w:vMerge w:val="restart"/>
            <w:tcBorders>
              <w:top w:val="nil"/>
              <w:left w:val="single" w:sz="4" w:space="0" w:color="auto"/>
              <w:bottom w:val="nil"/>
              <w:right w:val="single" w:sz="4" w:space="0" w:color="auto"/>
            </w:tcBorders>
            <w:shd w:val="clear" w:color="000000" w:fill="FFFFFF"/>
            <w:hideMark/>
          </w:tcPr>
          <w:p w:rsidR="00C1327B" w:rsidRPr="00913FE5" w:rsidRDefault="00C1327B" w:rsidP="00C1327B">
            <w:pPr>
              <w:jc w:val="center"/>
            </w:pPr>
            <w:r w:rsidRPr="00913FE5">
              <w:t>1.2.</w:t>
            </w:r>
          </w:p>
        </w:tc>
        <w:tc>
          <w:tcPr>
            <w:tcW w:w="2095" w:type="dxa"/>
            <w:vMerge w:val="restart"/>
            <w:tcBorders>
              <w:top w:val="nil"/>
              <w:left w:val="single" w:sz="4" w:space="0" w:color="auto"/>
              <w:bottom w:val="nil"/>
              <w:right w:val="single" w:sz="4" w:space="0" w:color="auto"/>
            </w:tcBorders>
            <w:shd w:val="clear" w:color="000000" w:fill="FFFFFF"/>
            <w:hideMark/>
          </w:tcPr>
          <w:p w:rsidR="00C1327B" w:rsidRPr="00913FE5" w:rsidRDefault="00C1327B" w:rsidP="00C1327B">
            <w:r w:rsidRPr="00913FE5">
              <w:t>Осуществление муниципального земельного контроля</w:t>
            </w:r>
          </w:p>
        </w:tc>
        <w:tc>
          <w:tcPr>
            <w:tcW w:w="5505"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1.2.1. Утверждение перечня индикаторов риска нарушения обязательных требований, используемых при решении вопроса о проведении внеплановой проверки и выборе ее вида при осуществлении муниципального земельного контроля, в том числе включение в перечень индикаторов риска факта зарастания земель сельскохозяйственного назначения сорной растительностью и (или) древесно-кустарниковой растительностью (борщевиком Сосновского), повышение качества документов планирования, направляемых в уполномоченные контрольные (надзорные) органы и органы прокуратуры</w:t>
            </w:r>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913FE5" w:rsidRDefault="00C1327B" w:rsidP="00C1327B">
            <w:pPr>
              <w:jc w:val="center"/>
            </w:pPr>
            <w:r w:rsidRPr="00913FE5">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Наличие утвержденных перечней индикаторов риска нарушения обязательных требований, используемых при решении вопроса о проведении внеплановой проверки и выборе ее вида при осуществлении муниципального земельного контроля, в том числе включение в перечень индикаторов риска факта зарастания земель сельскохозяйственного назначения сорной растительностью и (или) древесно-кустарниковой растительностью (борщевиком Сосновского) (да/нет)</w:t>
            </w:r>
          </w:p>
        </w:tc>
      </w:tr>
      <w:tr w:rsidR="00C1327B" w:rsidRPr="00C1327B" w:rsidTr="00C1327B">
        <w:trPr>
          <w:trHeight w:val="1875"/>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1.2.2. Выявление земельных участков сельскохозяйственного назначения, используемых не по целевому назначению (неиспользуемых), представление актов муниципального земельного контроля в налоговые органы Тверской области для применения повышенной ставки земельного налога 1,5 %</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выявленных земельных участков сельскохозяйственного назначения, не используемых по целевому назначению, в отношении которых направлены материалы в налоговые органы Тверской области с целью применения повышенной ставки земельного налога (1,5 %) (единиц)</w:t>
            </w:r>
          </w:p>
        </w:tc>
      </w:tr>
      <w:tr w:rsidR="00C1327B" w:rsidRPr="00C1327B" w:rsidTr="00C1327B">
        <w:trPr>
          <w:trHeight w:val="1785"/>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земельных участков сельскохозяйственного назначения, в отношении которых налоговыми органами Тверской области была применена повышенная ставка земельного налога (1,5%) ввиду их неиспользования по целевому назначению (единиц)</w:t>
            </w:r>
          </w:p>
        </w:tc>
      </w:tr>
      <w:tr w:rsidR="00C1327B" w:rsidRPr="00C1327B" w:rsidTr="00C1327B">
        <w:trPr>
          <w:trHeight w:val="750"/>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C1327B">
        <w:trPr>
          <w:trHeight w:val="1410"/>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1.2.3. Осуществление контрольных и профилактических мероприятий в отношении юридических и физических лиц в рамках муниципального земельного контроля </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актов муниципального земельного контроля, направленных в органы государственного земельного надзора для привлечения правообладателей земельных участков к административной ответственности (единиц)</w:t>
            </w:r>
          </w:p>
        </w:tc>
      </w:tr>
      <w:tr w:rsidR="00C1327B" w:rsidRPr="00C1327B" w:rsidTr="00C1327B">
        <w:trPr>
          <w:trHeight w:val="750"/>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наложенных административных штрафов по результатам проведенных мероприятий (тыс. рублей)</w:t>
            </w:r>
          </w:p>
        </w:tc>
      </w:tr>
      <w:tr w:rsidR="00C1327B" w:rsidRPr="00C1327B" w:rsidTr="00C1327B">
        <w:trPr>
          <w:trHeight w:val="750"/>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913FE5">
        <w:trPr>
          <w:trHeight w:val="2477"/>
        </w:trPr>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pPr>
            <w:r w:rsidRPr="00913FE5">
              <w:lastRenderedPageBreak/>
              <w:t>1.3.</w:t>
            </w:r>
          </w:p>
        </w:tc>
        <w:tc>
          <w:tcPr>
            <w:tcW w:w="209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1327B" w:rsidRPr="00913FE5" w:rsidRDefault="00C1327B" w:rsidP="00C1327B">
            <w:r w:rsidRPr="00913FE5">
              <w:t>Оценка эффективности ставок местных налогов и льгот по местным налогам</w:t>
            </w:r>
          </w:p>
        </w:tc>
        <w:tc>
          <w:tcPr>
            <w:tcW w:w="5505"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1.3.1. Проведение оценки эффективности налоговых расходов муниципального образования Тверской области (далее - муниципальное образование) в соответствии с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22.06.2019 №796 </w:t>
            </w:r>
          </w:p>
        </w:tc>
        <w:tc>
          <w:tcPr>
            <w:tcW w:w="2693"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center"/>
            </w:pPr>
            <w:r w:rsidRPr="00913FE5">
              <w:t xml:space="preserve">до 1 августа текущего финансового года </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Предоставление в Министерство финансов Тверской области (далее - Министерство) результатов оценки эффективности расходов муниципального образования (да/нет) </w:t>
            </w:r>
          </w:p>
        </w:tc>
      </w:tr>
      <w:tr w:rsidR="00C1327B" w:rsidRPr="00C1327B" w:rsidTr="00C1327B">
        <w:trPr>
          <w:trHeight w:val="1679"/>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single" w:sz="4" w:space="0" w:color="auto"/>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1.3.2. Проведение оценки эффективности ставок налогов, установленных органами местного самоуправления муниципального образования Тверской области (далее - орган местного самоуправления) </w:t>
            </w:r>
          </w:p>
        </w:tc>
        <w:tc>
          <w:tcPr>
            <w:tcW w:w="2693"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center"/>
            </w:pPr>
            <w:r w:rsidRPr="00913FE5">
              <w:t xml:space="preserve">до 1 августа текущего финансового года </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Предоставление в Министерство результатов оценки эффективности ставок налогов, установленных органами местного самоуправления (да/нет) </w:t>
            </w:r>
          </w:p>
        </w:tc>
      </w:tr>
      <w:tr w:rsidR="00C1327B" w:rsidRPr="00C1327B" w:rsidTr="00913FE5">
        <w:trPr>
          <w:trHeight w:val="2835"/>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single" w:sz="4" w:space="0" w:color="auto"/>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1.3.3. Актуализация плана по изменению ставок, отмене (уточнению) неэффективных налоговых льгот (пониженных ставок по налогам) </w:t>
            </w:r>
          </w:p>
        </w:tc>
        <w:tc>
          <w:tcPr>
            <w:tcW w:w="2693"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center"/>
            </w:pPr>
            <w:r w:rsidRPr="00913FE5">
              <w:t xml:space="preserve">до 1 октября текущего финансового года </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Предоставление в Министерство актуализированного плана по изменению ставок, отмене (уточнению) неэффективных налоговых льгот (пониженных ставок по налогам), в случае, если по результатам оценки эффективности налоговых расходов муниципального образования выявлены неэффективные налоговые льготы (пониженные ставки по налогам)  (да/нет) </w:t>
            </w:r>
          </w:p>
        </w:tc>
      </w:tr>
      <w:tr w:rsidR="00C1327B" w:rsidRPr="00C1327B" w:rsidTr="00913FE5">
        <w:trPr>
          <w:trHeight w:val="2619"/>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single" w:sz="4" w:space="0" w:color="auto"/>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center"/>
            </w:pPr>
            <w:r w:rsidRPr="00913FE5">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C1327B">
        <w:trPr>
          <w:trHeight w:val="2190"/>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pPr>
            <w:r w:rsidRPr="00913FE5">
              <w:t>1.4.</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r w:rsidRPr="00913FE5">
              <w:t>Создание новых рабочих мест, легализация трудовых отношений и снижение неформальной занятости</w:t>
            </w: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1.4.1. Выявление в пределах административно-территориальных границ муниципального образования юридических лиц, выполняющих работы, оказывающих услуги по муниципальным контрактам (договорам) и имеющих, в соответствии с положениями налогового законодательства признаки обособленного подразделения  (далее - обособленные подразделения). Информирование налоговых органов Тверской области о выявленных обособленных подразделениях и осуществление контроля за постановкой  обособленных подразделений на налоговый учет (в случае отсутствия сведений об их постановке на учет в налоговом органе Тверской области)</w:t>
            </w:r>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913FE5" w:rsidRDefault="00C1327B" w:rsidP="00C1327B">
            <w:pPr>
              <w:jc w:val="center"/>
            </w:pPr>
            <w:r w:rsidRPr="00913FE5">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заключенных муниципальных контрактов (договоров) на выполнение работ, оказание услуг, в которых предусмотрено условие о постановке на налоговый учет обособленных подразделений, осуществляющих исполнение обязательств по муниципальным контрактам (договорам) по месту их нахождения (единиц)</w:t>
            </w:r>
          </w:p>
        </w:tc>
      </w:tr>
      <w:tr w:rsidR="00C1327B" w:rsidRPr="00C1327B" w:rsidTr="00C1327B">
        <w:trPr>
          <w:trHeight w:val="208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выявленных юридических лиц, выполняющих работы, оказывающих услуги по муниципальным контрактам (договорам) и имеющих, в соответствии с положениями налогового законодательства признаки обособленного подразделения, сведения по которым направлены в налоговые органы Тверской области (единиц)</w:t>
            </w:r>
          </w:p>
        </w:tc>
      </w:tr>
      <w:tr w:rsidR="00C1327B" w:rsidRPr="00C1327B" w:rsidTr="00C1327B">
        <w:trPr>
          <w:trHeight w:val="75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C1327B">
        <w:trPr>
          <w:trHeight w:val="277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1.4.2. Адресная работа с юридическими лицами (индивидуальными предпринимателями) (направление информационных писем о необходимости соблюдения налогового законодательства, рассмотрение соответствующих вопросов на межведомственных комиссиях, образованных при органах местного самоуправления, проведение иной разъяснительной работы) по рассмотрению вопросов легализации "теневой" заработной платы, несоответствия объемов налоговых платежей, исчисляемых с сумм оплаты труда, основным показателям финансово-хозяйственной деятельности (осуществление деятельности посредством нескольких объектов предпринимательской деятельности, но отражение количества работников «1» или «0», отражение значений среднемесячной начисленной заработной платы существенно ниже (на 50% и более), чем среднеотраслевые данные)</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юридических лиц (индивидуальных предпринимателей), в отношении которых органами местного самоуправления проведена адресная работа (единиц)</w:t>
            </w:r>
          </w:p>
        </w:tc>
      </w:tr>
      <w:tr w:rsidR="00C1327B" w:rsidRPr="00C1327B" w:rsidTr="00C1327B">
        <w:trPr>
          <w:trHeight w:val="156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pPr>
              <w:jc w:val="both"/>
            </w:pP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C1327B">
        <w:trPr>
          <w:trHeight w:val="150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1.4.3. Выявление фактов привлечения к труду на территории муниципального образования нелегальных мигрантов путем проведения совместных рейдовых мероприятий с участием сотрудников территориальных органов Управления Министерства внутренних дел Российской Федерации по Тверской области, </w:t>
            </w:r>
            <w:r w:rsidRPr="00913FE5">
              <w:lastRenderedPageBreak/>
              <w:t>налоговых органов Тверской области, органов местного самоуправления</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(единиц)</w:t>
            </w:r>
          </w:p>
        </w:tc>
      </w:tr>
      <w:tr w:rsidR="00C1327B" w:rsidRPr="00C1327B" w:rsidTr="00C1327B">
        <w:trPr>
          <w:trHeight w:val="175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Численность выявленных нелегальных мигрантов по итогам проведения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(единиц)</w:t>
            </w:r>
          </w:p>
        </w:tc>
      </w:tr>
      <w:tr w:rsidR="00C1327B" w:rsidRPr="00C1327B" w:rsidTr="00C1327B">
        <w:trPr>
          <w:trHeight w:val="187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работодателей, привлеченных к административной ответственности по итогам проведения совместных рейдовых мероприятий по выявлению фактов привлечения к труду на территории муниципального образования нелегальных мигрантов с участием органов местного самоуправления (единиц)</w:t>
            </w:r>
          </w:p>
        </w:tc>
      </w:tr>
      <w:tr w:rsidR="00C1327B" w:rsidRPr="00C1327B" w:rsidTr="00913FE5">
        <w:trPr>
          <w:trHeight w:val="872"/>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913FE5">
        <w:trPr>
          <w:trHeight w:val="917"/>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1.4.4. Привлечение к налогообложению физических лиц, уклоняющихся от декларирования доходов от сдачи в аренду жилых помещений на платной основе в денежной форме, а также осуществляющих иную налогооблагаемую деятельность без оформления соответствующей регистрации в налоговых органах</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Количество физических лиц, в отношении которых органами местного самоуправления проведена адресная работа в целью недопущения нарушений налогового законодательства (направление информационных писем о необходимости соблюдения налогового законодательства, рассмотрение соответствующих вопросов на межведомственных комиссиях, </w:t>
            </w:r>
            <w:r w:rsidRPr="00913FE5">
              <w:lastRenderedPageBreak/>
              <w:t>образованных при органах местного самоуправления, проведение иной разъяснительной работы) (единиц)</w:t>
            </w:r>
          </w:p>
        </w:tc>
      </w:tr>
      <w:tr w:rsidR="00C1327B" w:rsidRPr="00C1327B" w:rsidTr="00C1327B">
        <w:trPr>
          <w:trHeight w:val="88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граждан, представивших налоговые декларации о доходах, по результатам проведенной работы (единиц)</w:t>
            </w:r>
          </w:p>
        </w:tc>
      </w:tr>
      <w:tr w:rsidR="00C1327B" w:rsidRPr="00C1327B" w:rsidTr="00C1327B">
        <w:trPr>
          <w:trHeight w:val="100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C1327B">
        <w:trPr>
          <w:trHeight w:val="3030"/>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pPr>
            <w:r w:rsidRPr="00913FE5">
              <w:t>1.5.</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r w:rsidRPr="00913FE5">
              <w:t>Снижение задолженности по налоговым платежам</w:t>
            </w: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1.5.1. Обеспечение снижения задолженности юридических лиц (индивидуальных предпринимателей) (направление информационных писем о необходимости соблюдения налогового законодательства, рассмотрение соответствующих вопросов на межведомственных комиссиях, образованных при органах местного самоуправления, проведение иной разъяснительной работы), имеющих задолженность в консолидированный бюджет Тверской области по информации, предоставленной налоговыми органами Тверской области</w:t>
            </w:r>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913FE5" w:rsidRDefault="00C1327B" w:rsidP="00C1327B">
            <w:pPr>
              <w:jc w:val="center"/>
            </w:pPr>
            <w:r w:rsidRPr="00913FE5">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юридических лиц (индивидуальных предпринимателей), в отношении которых органами местного самоуправления проведена адресная работа в целью недопущения нарушений налогового законодательства (направление информационных писем о необходимости соблюдения налогового законодательства, рассмотрение соответствующих вопросов на межведомственных комиссиях, образованных при органах местного самоуправления, проведение иной разъяснительной работы) (единиц)</w:t>
            </w:r>
          </w:p>
        </w:tc>
      </w:tr>
      <w:tr w:rsidR="00C1327B" w:rsidRPr="00C1327B" w:rsidTr="00C1327B">
        <w:trPr>
          <w:trHeight w:val="91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поступлений в консолидированный бюджет Тверской области за счет погашения задолженности (тыс. рублей)</w:t>
            </w:r>
          </w:p>
        </w:tc>
      </w:tr>
      <w:tr w:rsidR="00C1327B" w:rsidRPr="00C1327B" w:rsidTr="00C1327B">
        <w:trPr>
          <w:trHeight w:val="105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1.5.2. Обеспечение снижения задолженности физических лиц по уплате имущественных налогов. Проведение информационной кампании об обязанности уплаты имущественных налогов в установленные законодательством сроки (направление информационных писем о необходимости соблюдения налогового законодательства, рассмотрение на межведомственных комиссиях, образованных при органах местного самоуправления, проведение иной разъяснительной работы).</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мероприятий, проведенных с гражданами, об обязанности уплаты имущественных налогов в установленные законодательством сроки (единиц)</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Отсутствие задолженности по уплате имущественных налогов муниципальных служащих, работников органов местного самоуправления, работников подведомственных органам местного самоуправления организаций (да/нет)</w:t>
            </w:r>
          </w:p>
        </w:tc>
      </w:tr>
      <w:tr w:rsidR="00C1327B" w:rsidRPr="00C1327B" w:rsidTr="00C1327B">
        <w:trPr>
          <w:trHeight w:val="75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поступлений в консолидированный бюджет Тверской области за счет погашения задолженности по имущественным налогам (тыс. рублей)</w:t>
            </w:r>
          </w:p>
        </w:tc>
      </w:tr>
      <w:tr w:rsidR="00C1327B" w:rsidRPr="00C1327B" w:rsidTr="00C1327B">
        <w:trPr>
          <w:trHeight w:val="1305"/>
        </w:trPr>
        <w:tc>
          <w:tcPr>
            <w:tcW w:w="740" w:type="dxa"/>
            <w:vMerge w:val="restart"/>
            <w:tcBorders>
              <w:top w:val="nil"/>
              <w:left w:val="single" w:sz="4" w:space="0" w:color="auto"/>
              <w:bottom w:val="nil"/>
              <w:right w:val="single" w:sz="4" w:space="0" w:color="auto"/>
            </w:tcBorders>
            <w:shd w:val="clear" w:color="000000" w:fill="FFFFFF"/>
            <w:hideMark/>
          </w:tcPr>
          <w:p w:rsidR="00C1327B" w:rsidRPr="00913FE5" w:rsidRDefault="00C1327B" w:rsidP="00C1327B">
            <w:pPr>
              <w:jc w:val="center"/>
            </w:pPr>
            <w:r w:rsidRPr="00913FE5">
              <w:t>1.6.</w:t>
            </w:r>
          </w:p>
        </w:tc>
        <w:tc>
          <w:tcPr>
            <w:tcW w:w="2095" w:type="dxa"/>
            <w:vMerge w:val="restart"/>
            <w:tcBorders>
              <w:top w:val="nil"/>
              <w:left w:val="single" w:sz="4" w:space="0" w:color="auto"/>
              <w:bottom w:val="nil"/>
              <w:right w:val="single" w:sz="4" w:space="0" w:color="auto"/>
            </w:tcBorders>
            <w:shd w:val="clear" w:color="000000" w:fill="FFFFFF"/>
            <w:hideMark/>
          </w:tcPr>
          <w:p w:rsidR="00C1327B" w:rsidRPr="00913FE5" w:rsidRDefault="00C1327B" w:rsidP="00C1327B">
            <w:r w:rsidRPr="00913FE5">
              <w:t>Увеличение поступлений налоговых и неналоговых доходов в связи с размещением объектов капитального строительства, реализацией инвестиционных проектов</w:t>
            </w:r>
          </w:p>
        </w:tc>
        <w:tc>
          <w:tcPr>
            <w:tcW w:w="5505" w:type="dxa"/>
            <w:vMerge w:val="restart"/>
            <w:tcBorders>
              <w:top w:val="nil"/>
              <w:left w:val="single" w:sz="4" w:space="0" w:color="auto"/>
              <w:bottom w:val="nil"/>
              <w:right w:val="single" w:sz="4" w:space="0" w:color="auto"/>
            </w:tcBorders>
            <w:shd w:val="clear" w:color="000000" w:fill="FFFFFF"/>
            <w:hideMark/>
          </w:tcPr>
          <w:p w:rsidR="00C1327B" w:rsidRPr="00913FE5" w:rsidRDefault="00C1327B" w:rsidP="00C1327B">
            <w:pPr>
              <w:jc w:val="both"/>
            </w:pPr>
            <w:r w:rsidRPr="00913FE5">
              <w:t xml:space="preserve">1.6.1. Привлечение потенциальных инвесторов, создание условий для реализации инвестиционных проектов и размещения объектов капитального строительства на территории муниципальных образований, в том числе по результатам перевода земель или земельных участков в составе таких земель из одной категории в другую </w:t>
            </w:r>
          </w:p>
        </w:tc>
        <w:tc>
          <w:tcPr>
            <w:tcW w:w="2693" w:type="dxa"/>
            <w:vMerge w:val="restart"/>
            <w:tcBorders>
              <w:top w:val="nil"/>
              <w:left w:val="single" w:sz="4" w:space="0" w:color="auto"/>
              <w:bottom w:val="nil"/>
              <w:right w:val="single" w:sz="4" w:space="0" w:color="auto"/>
            </w:tcBorders>
            <w:shd w:val="clear" w:color="000000" w:fill="FFFFFF"/>
            <w:hideMark/>
          </w:tcPr>
          <w:p w:rsidR="00C1327B" w:rsidRPr="00913FE5" w:rsidRDefault="00C1327B" w:rsidP="00C1327B">
            <w:pPr>
              <w:jc w:val="center"/>
            </w:pPr>
            <w:r w:rsidRPr="00913FE5">
              <w:t xml:space="preserve">за I, II, III квартал текущего финансового года </w:t>
            </w:r>
            <w:r w:rsidRPr="00913FE5">
              <w:br w:type="page"/>
              <w:t>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Количество инвестиционных проектов (на всех этапах реализации), в том числе по результатам перевода земель или земельных участков в составе таких земель из одной категории в другую (единиц)</w:t>
            </w:r>
          </w:p>
        </w:tc>
      </w:tr>
      <w:tr w:rsidR="00C1327B" w:rsidRPr="00C1327B" w:rsidTr="00C1327B">
        <w:trPr>
          <w:trHeight w:val="1740"/>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 xml:space="preserve">Количество инвестиционных проектов (на всех этапах реализации) с положительной динамикой поступлений в консолидированный бюджет Тверской области по отношению к показателю за </w:t>
            </w:r>
            <w:proofErr w:type="spellStart"/>
            <w:r w:rsidRPr="00913FE5">
              <w:t>аналогисный</w:t>
            </w:r>
            <w:proofErr w:type="spellEnd"/>
            <w:r w:rsidRPr="00913FE5">
              <w:t xml:space="preserve"> период отчетного финансового года (единиц)</w:t>
            </w:r>
          </w:p>
        </w:tc>
      </w:tr>
      <w:tr w:rsidR="00C1327B" w:rsidRPr="00C1327B" w:rsidTr="00C1327B">
        <w:trPr>
          <w:trHeight w:val="1260"/>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Динамика поступлений в консолидированный бюджет Тверской области по отношению к показателю за аналогичный период отчетного финансового года (да/нет)</w:t>
            </w:r>
          </w:p>
        </w:tc>
      </w:tr>
      <w:tr w:rsidR="00C1327B" w:rsidRPr="00C1327B" w:rsidTr="00913FE5">
        <w:trPr>
          <w:trHeight w:val="952"/>
        </w:trPr>
        <w:tc>
          <w:tcPr>
            <w:tcW w:w="740"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nil"/>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дополнительных поступлений в консолидированный бюджет Тверской области (тыс. рублей)</w:t>
            </w:r>
          </w:p>
        </w:tc>
      </w:tr>
      <w:tr w:rsidR="00C1327B" w:rsidRPr="00C1327B" w:rsidTr="00C1327B">
        <w:trPr>
          <w:trHeight w:val="375"/>
        </w:trPr>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pPr>
            <w:r w:rsidRPr="00913FE5">
              <w:t>2.</w:t>
            </w:r>
          </w:p>
        </w:tc>
        <w:tc>
          <w:tcPr>
            <w:tcW w:w="14829" w:type="dxa"/>
            <w:gridSpan w:val="4"/>
            <w:tcBorders>
              <w:top w:val="single" w:sz="4" w:space="0" w:color="auto"/>
              <w:left w:val="nil"/>
              <w:bottom w:val="single" w:sz="4" w:space="0" w:color="auto"/>
              <w:right w:val="single" w:sz="4" w:space="0" w:color="auto"/>
            </w:tcBorders>
            <w:shd w:val="clear" w:color="000000" w:fill="FFFFFF"/>
            <w:hideMark/>
          </w:tcPr>
          <w:p w:rsidR="00C1327B" w:rsidRPr="00913FE5" w:rsidRDefault="00C1327B" w:rsidP="00C1327B">
            <w:pPr>
              <w:jc w:val="center"/>
              <w:rPr>
                <w:b/>
              </w:rPr>
            </w:pPr>
            <w:r w:rsidRPr="00913FE5">
              <w:rPr>
                <w:b/>
              </w:rPr>
              <w:t>Мероприятия по увеличению поступления неналоговых доходов</w:t>
            </w:r>
          </w:p>
        </w:tc>
      </w:tr>
      <w:tr w:rsidR="00C1327B" w:rsidRPr="00C1327B" w:rsidTr="00C1327B">
        <w:trPr>
          <w:trHeight w:val="1425"/>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pPr>
            <w:r w:rsidRPr="00913FE5">
              <w:t>2.1.</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r w:rsidRPr="00913FE5">
              <w:t>Увеличение поступлений арендной платы за использование земельных участков и имущества на территории муниципальных образований</w:t>
            </w: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2.1.1. Обеспечение снижения задолженности по договорам аренды земельных участков и имущества, находящихся в муниципальной собственности, обеспечение эффективного взаимодействия с главным администратором доходов - Министерством имущественных и земельных отношений Тверской области (администратор – Государственное казенное учреждение Тверской области «Центр управления земельными ресурсами Тверской области», далее - ГКУ «Центр управления земельными ресурсами») в целях снижения задолженности по договорам аренды земельных участков в собственности до разграничения на территории муниципального образования</w:t>
            </w:r>
          </w:p>
        </w:tc>
        <w:tc>
          <w:tcPr>
            <w:tcW w:w="2693" w:type="dxa"/>
            <w:vMerge w:val="restart"/>
            <w:tcBorders>
              <w:top w:val="nil"/>
              <w:left w:val="single" w:sz="4" w:space="0" w:color="auto"/>
              <w:bottom w:val="single" w:sz="4" w:space="0" w:color="000000"/>
              <w:right w:val="single" w:sz="4" w:space="0" w:color="auto"/>
            </w:tcBorders>
            <w:shd w:val="clear" w:color="000000" w:fill="FFFFFF"/>
            <w:hideMark/>
          </w:tcPr>
          <w:p w:rsidR="00C1327B" w:rsidRPr="00913FE5" w:rsidRDefault="00C1327B" w:rsidP="00C1327B">
            <w:pPr>
              <w:jc w:val="center"/>
            </w:pPr>
            <w:r w:rsidRPr="00913FE5">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Снижение задолженности по договорам аренды земельных участков и имущества, находящихся в муниципальной собственности, по отношению к показателю на 1 января текущего финансового года (да/нет)</w:t>
            </w:r>
          </w:p>
        </w:tc>
      </w:tr>
      <w:tr w:rsidR="00C1327B" w:rsidRPr="00C1327B" w:rsidTr="00C1327B">
        <w:trPr>
          <w:trHeight w:val="142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Снижение задолженности по договорам аренды земельных участков, собственность на которые не разграничена, по отношению к показателю на 1 января текущего финансового года (да/нет)</w:t>
            </w:r>
          </w:p>
        </w:tc>
      </w:tr>
      <w:tr w:rsidR="00C1327B" w:rsidRPr="00C1327B" w:rsidTr="00C1327B">
        <w:trPr>
          <w:trHeight w:val="559"/>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поступлений в бюджет муниципального образования за счет погашения задолженности по договорам аренды земельных участков и имущества, находящихся в муниципальной собственности (тыс. рублей)</w:t>
            </w:r>
          </w:p>
        </w:tc>
      </w:tr>
      <w:tr w:rsidR="00C1327B" w:rsidRPr="00C1327B" w:rsidTr="00C1327B">
        <w:trPr>
          <w:trHeight w:val="142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поступлений в бюджет муниципального образования за счет погашения задолженности по договорам аренды земельных участков, собственность на которые не разграничена (тыс. рублей)</w:t>
            </w:r>
          </w:p>
        </w:tc>
      </w:tr>
      <w:tr w:rsidR="00C1327B" w:rsidRPr="00C1327B" w:rsidTr="00C1327B">
        <w:trPr>
          <w:trHeight w:val="162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both"/>
            </w:pPr>
            <w:r w:rsidRPr="00913FE5">
              <w:t>2.1.2. Вовлечение в хозяйственный оборот неиспользуемых земельных участков и имущества, находящихся в муниципальной собственности, обеспечение эффективного взаимодействия с главным администратором доходов - Министерством имущественных и земельных отношений Тверской области (администратор – ГКУ «Центр управления земельными ресурсами») в целях вовлечения в хозяйственный оборот неиспользуемых земельных участков в собственности до разграничения на территории муниципального образования</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Увеличение поступлений от аренды земельных участков и имущества, находящихся в муниципальной собственности, за счет вовлечения земельных участков и имущества в хозяйственный оборот (заключение новых договоров аренды) (да/нет)</w:t>
            </w:r>
          </w:p>
        </w:tc>
      </w:tr>
      <w:tr w:rsidR="00C1327B" w:rsidRPr="00C1327B" w:rsidTr="00C1327B">
        <w:trPr>
          <w:trHeight w:val="133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Увеличение поступлений от аренды земельных участков, собственность на которые не разграничена, за счет вовлечения земельных участков в хозяйственный оборот (заключение новых договоров аренды) (да/нет)</w:t>
            </w:r>
          </w:p>
        </w:tc>
      </w:tr>
      <w:tr w:rsidR="00C1327B" w:rsidRPr="00C1327B" w:rsidTr="00437DF9">
        <w:trPr>
          <w:trHeight w:val="392"/>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C1327B">
            <w:pPr>
              <w:jc w:val="both"/>
            </w:pPr>
            <w:r w:rsidRPr="00913FE5">
              <w:t>Сумма поступлений в бюджет муниципального образования за счет заключения новых договоров аренды земельных участков и имущества, находящихся в муниципальной собственности (тыс. рублей)</w:t>
            </w:r>
          </w:p>
        </w:tc>
      </w:tr>
      <w:tr w:rsidR="00C1327B" w:rsidRPr="00C1327B" w:rsidTr="003D53FD">
        <w:trPr>
          <w:trHeight w:val="534"/>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 xml:space="preserve">Сумма поступлений в бюджет муниципального образования за счет заключения новых договоров аренды земельных участков в собственности до разграничения на территории </w:t>
            </w:r>
            <w:r w:rsidRPr="00913FE5">
              <w:lastRenderedPageBreak/>
              <w:t>муниципального образования (тыс. рублей)</w:t>
            </w:r>
          </w:p>
        </w:tc>
      </w:tr>
      <w:tr w:rsidR="00C1327B" w:rsidRPr="00C1327B" w:rsidTr="00C1327B">
        <w:trPr>
          <w:trHeight w:val="112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3D53FD">
            <w:pPr>
              <w:jc w:val="both"/>
            </w:pPr>
            <w:r w:rsidRPr="00913FE5">
              <w:t>2.1.3. Оптимизация ставок арендной платы по договорам аренды земельных участков и имущества, находящихся в муниципальной собственности, обеспечение эффективного взаимодействия с главным администратором доходов - Министерством имущественных и земельных отношений Тверской области (администратор – ГКУ «Центр управления земельными ресурсами») в целях оптимизации ставок арендной платы по договорам аренды земельных участков в собственности до разграничения на территории муниципального образования</w:t>
            </w:r>
          </w:p>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Увеличение поступлений от аренды земельных участков и имущества, находящихся в муниципальной собственности, за счет оптимизации ставок арендной платы (да/нет)</w:t>
            </w:r>
          </w:p>
        </w:tc>
      </w:tr>
      <w:tr w:rsidR="00C1327B" w:rsidRPr="00C1327B" w:rsidTr="00C1327B">
        <w:trPr>
          <w:trHeight w:val="75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Увеличение поступлений от аренды земельных участков, собственность на которые не разграничена, за счет оптимизации ставок арендной платы (да/нет)</w:t>
            </w:r>
          </w:p>
        </w:tc>
      </w:tr>
      <w:tr w:rsidR="00C1327B" w:rsidRPr="00C1327B" w:rsidTr="00C1327B">
        <w:trPr>
          <w:trHeight w:val="1500"/>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Сумма поступлений в бюджет муниципального образования за счет оптимизации ставок арендной платы по договорам аренды земельных участков и имущества, находящихся в муниципальной собственности (тыс. рублей)</w:t>
            </w:r>
          </w:p>
        </w:tc>
      </w:tr>
      <w:tr w:rsidR="00C1327B" w:rsidRPr="00C1327B" w:rsidTr="003D53FD">
        <w:trPr>
          <w:trHeight w:val="98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Сумма поступлений в бюджет муниципального образования за счет оптимизации ставок арендной платы по договорам аренды земельных участков в собственности до разграничения на территории муниципального образования (тыс. рублей)</w:t>
            </w:r>
          </w:p>
        </w:tc>
      </w:tr>
      <w:tr w:rsidR="00C1327B" w:rsidRPr="00C1327B" w:rsidTr="00C1327B">
        <w:trPr>
          <w:trHeight w:val="2010"/>
        </w:trPr>
        <w:tc>
          <w:tcPr>
            <w:tcW w:w="740"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pPr>
            <w:r w:rsidRPr="00913FE5">
              <w:lastRenderedPageBreak/>
              <w:t>2.2.</w:t>
            </w:r>
          </w:p>
        </w:tc>
        <w:tc>
          <w:tcPr>
            <w:tcW w:w="209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r w:rsidRPr="00913FE5">
              <w:t>Обеспечение поступления в бюджет муниципального образования части прибыли муниципальных унитарных предприятий, иных организаций с долей собственности муниципального образования</w:t>
            </w:r>
          </w:p>
        </w:tc>
        <w:tc>
          <w:tcPr>
            <w:tcW w:w="5505"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3D53FD">
            <w:pPr>
              <w:jc w:val="both"/>
            </w:pPr>
            <w:r w:rsidRPr="00913FE5">
              <w:t>2.2.1. Проверка своевременности и полноты уплаты в бюджет муниципального образования доходов от перечисления части прибыли муниципальных унитарных предприятий, иных организаций с долей собственности муниципального образования, остающейся после уплаты налогов и иных обязательных платежей</w:t>
            </w:r>
          </w:p>
        </w:tc>
        <w:tc>
          <w:tcPr>
            <w:tcW w:w="2693" w:type="dxa"/>
            <w:vMerge w:val="restart"/>
            <w:tcBorders>
              <w:top w:val="nil"/>
              <w:left w:val="single" w:sz="4" w:space="0" w:color="auto"/>
              <w:bottom w:val="single" w:sz="4" w:space="0" w:color="auto"/>
              <w:right w:val="single" w:sz="4" w:space="0" w:color="auto"/>
            </w:tcBorders>
            <w:shd w:val="clear" w:color="000000" w:fill="FFFFFF"/>
            <w:hideMark/>
          </w:tcPr>
          <w:p w:rsidR="00C1327B" w:rsidRPr="00913FE5" w:rsidRDefault="00C1327B" w:rsidP="00C1327B">
            <w:pPr>
              <w:jc w:val="center"/>
            </w:pPr>
            <w:r w:rsidRPr="00913FE5">
              <w:t>за I, II, III квартал текущего финансового года до 25 числа месяца следующего за отчетным кварталом, за IV квартал текущего финансового года до 25 января очередного финансового года</w:t>
            </w:r>
          </w:p>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Сумма поступлений в бюджет муниципального образования в результате перечисления части прибыли муниципальных унитарных предприятий, иных организаций с долей собственности муниципального образования, остающейся после уплаты налогов и иных обязательных платежей (тыс. рублей)</w:t>
            </w:r>
          </w:p>
        </w:tc>
      </w:tr>
      <w:tr w:rsidR="00C1327B" w:rsidRPr="00C1327B" w:rsidTr="00437DF9">
        <w:trPr>
          <w:trHeight w:val="392"/>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693"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Наличие фактов просрочки перечисления части прибыли муниципальных унитарных предприятий, иных организаций с долей собственности муниципального образования, остающейся после уплаты налогов и иных обязательных платежей (да/нет)</w:t>
            </w:r>
          </w:p>
        </w:tc>
      </w:tr>
      <w:tr w:rsidR="00C1327B" w:rsidRPr="00C1327B" w:rsidTr="00C1327B">
        <w:trPr>
          <w:trHeight w:val="1875"/>
        </w:trPr>
        <w:tc>
          <w:tcPr>
            <w:tcW w:w="740"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5505"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2.2.2. Обеспечение поступления в бюджет муниципального образования  не менее 50% прибыли муниципальных унитарных предприятий, иных организаций с долей собственности муниципального образования</w:t>
            </w:r>
          </w:p>
        </w:tc>
        <w:tc>
          <w:tcPr>
            <w:tcW w:w="2693" w:type="dxa"/>
            <w:vMerge/>
            <w:tcBorders>
              <w:top w:val="nil"/>
              <w:left w:val="single" w:sz="4" w:space="0" w:color="auto"/>
              <w:bottom w:val="single" w:sz="4" w:space="0" w:color="auto"/>
              <w:right w:val="single" w:sz="4" w:space="0" w:color="auto"/>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000000" w:fill="FFFFFF"/>
            <w:hideMark/>
          </w:tcPr>
          <w:p w:rsidR="00C1327B" w:rsidRPr="00913FE5" w:rsidRDefault="00C1327B" w:rsidP="003D53FD">
            <w:pPr>
              <w:jc w:val="both"/>
            </w:pPr>
            <w:r w:rsidRPr="00913FE5">
              <w:t>Доля отчисления части прибыли муниципальных унитарных предприятий, иных организаций с долей собственности муниципального образования (процент)</w:t>
            </w:r>
          </w:p>
        </w:tc>
      </w:tr>
      <w:tr w:rsidR="00C1327B" w:rsidRPr="00C1327B" w:rsidTr="00C1327B">
        <w:trPr>
          <w:trHeight w:val="1965"/>
        </w:trPr>
        <w:tc>
          <w:tcPr>
            <w:tcW w:w="740" w:type="dxa"/>
            <w:vMerge w:val="restart"/>
            <w:tcBorders>
              <w:top w:val="nil"/>
              <w:left w:val="single" w:sz="4" w:space="0" w:color="auto"/>
              <w:bottom w:val="single" w:sz="4" w:space="0" w:color="000000"/>
              <w:right w:val="single" w:sz="4" w:space="0" w:color="auto"/>
            </w:tcBorders>
            <w:shd w:val="clear" w:color="auto" w:fill="auto"/>
            <w:hideMark/>
          </w:tcPr>
          <w:p w:rsidR="00C1327B" w:rsidRPr="00913FE5" w:rsidRDefault="00C1327B" w:rsidP="00C1327B">
            <w:pPr>
              <w:jc w:val="center"/>
            </w:pPr>
            <w:r w:rsidRPr="00913FE5">
              <w:t>2.3.</w:t>
            </w:r>
          </w:p>
        </w:tc>
        <w:tc>
          <w:tcPr>
            <w:tcW w:w="2095" w:type="dxa"/>
            <w:vMerge w:val="restart"/>
            <w:tcBorders>
              <w:top w:val="nil"/>
              <w:left w:val="single" w:sz="4" w:space="0" w:color="auto"/>
              <w:bottom w:val="single" w:sz="4" w:space="0" w:color="000000"/>
              <w:right w:val="single" w:sz="4" w:space="0" w:color="auto"/>
            </w:tcBorders>
            <w:shd w:val="clear" w:color="auto" w:fill="auto"/>
            <w:hideMark/>
          </w:tcPr>
          <w:p w:rsidR="00C1327B" w:rsidRPr="00913FE5" w:rsidRDefault="00C1327B" w:rsidP="00C1327B">
            <w:r w:rsidRPr="00913FE5">
              <w:t xml:space="preserve">Обеспечение поступления в бюджет муниципального образования доходов от продажи </w:t>
            </w:r>
            <w:r w:rsidRPr="00913FE5">
              <w:lastRenderedPageBreak/>
              <w:t>муниципального имущества</w:t>
            </w:r>
          </w:p>
        </w:tc>
        <w:tc>
          <w:tcPr>
            <w:tcW w:w="5505" w:type="dxa"/>
            <w:tcBorders>
              <w:top w:val="nil"/>
              <w:left w:val="nil"/>
              <w:bottom w:val="nil"/>
              <w:right w:val="single" w:sz="4" w:space="0" w:color="auto"/>
            </w:tcBorders>
            <w:shd w:val="clear" w:color="auto" w:fill="auto"/>
            <w:hideMark/>
          </w:tcPr>
          <w:p w:rsidR="00C1327B" w:rsidRPr="00913FE5" w:rsidRDefault="00C1327B" w:rsidP="003D53FD">
            <w:pPr>
              <w:jc w:val="both"/>
            </w:pPr>
            <w:r w:rsidRPr="00913FE5">
              <w:lastRenderedPageBreak/>
              <w:t>2.3.1. Обеспечение поступления в бюджет муниципального образования доходов от выполнения плана приватизации имущества, находящегося в муниципальной собственности</w:t>
            </w:r>
          </w:p>
        </w:tc>
        <w:tc>
          <w:tcPr>
            <w:tcW w:w="2693" w:type="dxa"/>
            <w:vMerge w:val="restart"/>
            <w:tcBorders>
              <w:top w:val="nil"/>
              <w:left w:val="single" w:sz="4" w:space="0" w:color="auto"/>
              <w:bottom w:val="single" w:sz="4" w:space="0" w:color="000000"/>
              <w:right w:val="single" w:sz="4" w:space="0" w:color="000000"/>
            </w:tcBorders>
            <w:shd w:val="clear" w:color="auto" w:fill="auto"/>
            <w:hideMark/>
          </w:tcPr>
          <w:p w:rsidR="00C1327B" w:rsidRPr="00913FE5" w:rsidRDefault="00C1327B" w:rsidP="00C1327B">
            <w:pPr>
              <w:jc w:val="center"/>
            </w:pPr>
            <w:r w:rsidRPr="00913FE5">
              <w:t xml:space="preserve">за I, II, III квартал текущего финансового года до 25 числа месяца следующего за отчетным кварталом, за IV квартал текущего финансового года до 25 </w:t>
            </w:r>
            <w:r w:rsidRPr="00913FE5">
              <w:lastRenderedPageBreak/>
              <w:t>января очередного финансового года</w:t>
            </w:r>
          </w:p>
        </w:tc>
        <w:tc>
          <w:tcPr>
            <w:tcW w:w="4536" w:type="dxa"/>
            <w:tcBorders>
              <w:top w:val="nil"/>
              <w:left w:val="nil"/>
              <w:bottom w:val="single" w:sz="4" w:space="0" w:color="auto"/>
              <w:right w:val="single" w:sz="4" w:space="0" w:color="auto"/>
            </w:tcBorders>
            <w:shd w:val="clear" w:color="auto" w:fill="auto"/>
            <w:hideMark/>
          </w:tcPr>
          <w:p w:rsidR="00C1327B" w:rsidRPr="00913FE5" w:rsidRDefault="00C1327B" w:rsidP="003D53FD">
            <w:pPr>
              <w:jc w:val="both"/>
            </w:pPr>
            <w:r w:rsidRPr="00913FE5">
              <w:lastRenderedPageBreak/>
              <w:t>Сумма поступлений в бюджет муниципального образования в результате выполнения плана приватизации имущества, находящегося в муниципальной собственности (тыс. рублей)</w:t>
            </w:r>
          </w:p>
        </w:tc>
      </w:tr>
      <w:tr w:rsidR="00C1327B" w:rsidRPr="00C1327B" w:rsidTr="00C1327B">
        <w:trPr>
          <w:trHeight w:val="1770"/>
        </w:trPr>
        <w:tc>
          <w:tcPr>
            <w:tcW w:w="740"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2095" w:type="dxa"/>
            <w:vMerge/>
            <w:tcBorders>
              <w:top w:val="nil"/>
              <w:left w:val="single" w:sz="4" w:space="0" w:color="auto"/>
              <w:bottom w:val="single" w:sz="4" w:space="0" w:color="000000"/>
              <w:right w:val="single" w:sz="4" w:space="0" w:color="auto"/>
            </w:tcBorders>
            <w:vAlign w:val="center"/>
            <w:hideMark/>
          </w:tcPr>
          <w:p w:rsidR="00C1327B" w:rsidRPr="00913FE5" w:rsidRDefault="00C1327B" w:rsidP="00C1327B"/>
        </w:tc>
        <w:tc>
          <w:tcPr>
            <w:tcW w:w="5505" w:type="dxa"/>
            <w:tcBorders>
              <w:top w:val="single" w:sz="4" w:space="0" w:color="auto"/>
              <w:left w:val="nil"/>
              <w:bottom w:val="single" w:sz="4" w:space="0" w:color="auto"/>
              <w:right w:val="single" w:sz="4" w:space="0" w:color="auto"/>
            </w:tcBorders>
            <w:shd w:val="clear" w:color="auto" w:fill="auto"/>
            <w:hideMark/>
          </w:tcPr>
          <w:p w:rsidR="00C1327B" w:rsidRPr="00913FE5" w:rsidRDefault="00C1327B" w:rsidP="003D53FD">
            <w:pPr>
              <w:jc w:val="both"/>
            </w:pPr>
            <w:r w:rsidRPr="00913FE5">
              <w:t>2.3.2. Обеспечение поступления в бюджет муниципального образования иных доходов от продажи муниципального имущества</w:t>
            </w:r>
          </w:p>
        </w:tc>
        <w:tc>
          <w:tcPr>
            <w:tcW w:w="2693" w:type="dxa"/>
            <w:vMerge/>
            <w:tcBorders>
              <w:top w:val="nil"/>
              <w:left w:val="single" w:sz="4" w:space="0" w:color="auto"/>
              <w:bottom w:val="single" w:sz="4" w:space="0" w:color="000000"/>
              <w:right w:val="single" w:sz="4" w:space="0" w:color="000000"/>
            </w:tcBorders>
            <w:vAlign w:val="center"/>
            <w:hideMark/>
          </w:tcPr>
          <w:p w:rsidR="00C1327B" w:rsidRPr="00913FE5" w:rsidRDefault="00C1327B" w:rsidP="00C1327B"/>
        </w:tc>
        <w:tc>
          <w:tcPr>
            <w:tcW w:w="4536" w:type="dxa"/>
            <w:tcBorders>
              <w:top w:val="nil"/>
              <w:left w:val="nil"/>
              <w:bottom w:val="single" w:sz="4" w:space="0" w:color="auto"/>
              <w:right w:val="single" w:sz="4" w:space="0" w:color="auto"/>
            </w:tcBorders>
            <w:shd w:val="clear" w:color="auto" w:fill="auto"/>
            <w:hideMark/>
          </w:tcPr>
          <w:p w:rsidR="00C1327B" w:rsidRPr="00913FE5" w:rsidRDefault="00C1327B" w:rsidP="003D53FD">
            <w:pPr>
              <w:jc w:val="both"/>
            </w:pPr>
            <w:r w:rsidRPr="00913FE5">
              <w:t>Сумма поступлений в бюджет муниципального образования иных доходов от продажи муниципального имущества (тыс. рублей)</w:t>
            </w:r>
          </w:p>
        </w:tc>
      </w:tr>
    </w:tbl>
    <w:p w:rsidR="0007621F" w:rsidRDefault="0007621F" w:rsidP="00A26A41">
      <w:pPr>
        <w:pStyle w:val="3"/>
        <w:jc w:val="left"/>
        <w:rPr>
          <w:b w:val="0"/>
          <w:bCs/>
          <w:sz w:val="28"/>
          <w:szCs w:val="28"/>
        </w:rPr>
        <w:sectPr w:rsidR="0007621F" w:rsidSect="006E757D">
          <w:pgSz w:w="16838" w:h="11906" w:orient="landscape"/>
          <w:pgMar w:top="851" w:right="678" w:bottom="1134" w:left="1134" w:header="709" w:footer="709" w:gutter="0"/>
          <w:cols w:space="708"/>
          <w:docGrid w:linePitch="360"/>
        </w:sectPr>
      </w:pPr>
    </w:p>
    <w:p w:rsidR="00CA2AAE" w:rsidRDefault="00CA2AAE" w:rsidP="00A26A41">
      <w:pPr>
        <w:pStyle w:val="3"/>
        <w:jc w:val="left"/>
        <w:rPr>
          <w:b w:val="0"/>
          <w:bCs/>
          <w:sz w:val="28"/>
          <w:szCs w:val="28"/>
        </w:rPr>
      </w:pPr>
    </w:p>
    <w:sectPr w:rsidR="00CA2AAE" w:rsidSect="003F7862">
      <w:pgSz w:w="11906" w:h="16838"/>
      <w:pgMar w:top="1135" w:right="851"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2AC" w:rsidRDefault="006612AC" w:rsidP="004F4209">
      <w:r>
        <w:separator/>
      </w:r>
    </w:p>
  </w:endnote>
  <w:endnote w:type="continuationSeparator" w:id="0">
    <w:p w:rsidR="006612AC" w:rsidRDefault="006612AC" w:rsidP="004F4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2AC" w:rsidRDefault="006612AC" w:rsidP="004F4209">
      <w:r>
        <w:separator/>
      </w:r>
    </w:p>
  </w:footnote>
  <w:footnote w:type="continuationSeparator" w:id="0">
    <w:p w:rsidR="006612AC" w:rsidRDefault="006612AC" w:rsidP="004F42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76B25"/>
    <w:rsid w:val="000269DD"/>
    <w:rsid w:val="0003294E"/>
    <w:rsid w:val="00055F37"/>
    <w:rsid w:val="0007621F"/>
    <w:rsid w:val="000910EA"/>
    <w:rsid w:val="000976B5"/>
    <w:rsid w:val="00097A93"/>
    <w:rsid w:val="000A0656"/>
    <w:rsid w:val="000C4B57"/>
    <w:rsid w:val="00166AF6"/>
    <w:rsid w:val="00167E1B"/>
    <w:rsid w:val="001926F6"/>
    <w:rsid w:val="001967A3"/>
    <w:rsid w:val="001A25A3"/>
    <w:rsid w:val="001B6E3C"/>
    <w:rsid w:val="002015C9"/>
    <w:rsid w:val="00201E42"/>
    <w:rsid w:val="00215F30"/>
    <w:rsid w:val="00223CBD"/>
    <w:rsid w:val="00246EBF"/>
    <w:rsid w:val="00250566"/>
    <w:rsid w:val="002575B8"/>
    <w:rsid w:val="002746A5"/>
    <w:rsid w:val="00285BAB"/>
    <w:rsid w:val="002A52F9"/>
    <w:rsid w:val="002A7EA1"/>
    <w:rsid w:val="002C245D"/>
    <w:rsid w:val="002C49FF"/>
    <w:rsid w:val="002E19C3"/>
    <w:rsid w:val="003073E9"/>
    <w:rsid w:val="0034389F"/>
    <w:rsid w:val="003728FB"/>
    <w:rsid w:val="0037562D"/>
    <w:rsid w:val="00375A40"/>
    <w:rsid w:val="003828B7"/>
    <w:rsid w:val="00383651"/>
    <w:rsid w:val="00396BD3"/>
    <w:rsid w:val="003D53FD"/>
    <w:rsid w:val="003F7862"/>
    <w:rsid w:val="00437DF9"/>
    <w:rsid w:val="00452D87"/>
    <w:rsid w:val="0045534E"/>
    <w:rsid w:val="00470613"/>
    <w:rsid w:val="0047438F"/>
    <w:rsid w:val="00477141"/>
    <w:rsid w:val="004A581C"/>
    <w:rsid w:val="004F4209"/>
    <w:rsid w:val="00504CD6"/>
    <w:rsid w:val="00510D80"/>
    <w:rsid w:val="005148AE"/>
    <w:rsid w:val="0053673A"/>
    <w:rsid w:val="005863A5"/>
    <w:rsid w:val="005A45A0"/>
    <w:rsid w:val="005C7694"/>
    <w:rsid w:val="00612560"/>
    <w:rsid w:val="0062685F"/>
    <w:rsid w:val="00642EE8"/>
    <w:rsid w:val="006451BF"/>
    <w:rsid w:val="006612AC"/>
    <w:rsid w:val="00672F7D"/>
    <w:rsid w:val="0069670E"/>
    <w:rsid w:val="006A519C"/>
    <w:rsid w:val="006A6B6A"/>
    <w:rsid w:val="006B261F"/>
    <w:rsid w:val="006C7087"/>
    <w:rsid w:val="006D7977"/>
    <w:rsid w:val="006E757D"/>
    <w:rsid w:val="00715B77"/>
    <w:rsid w:val="00716541"/>
    <w:rsid w:val="007343B6"/>
    <w:rsid w:val="007A15FA"/>
    <w:rsid w:val="007D6F78"/>
    <w:rsid w:val="007F1877"/>
    <w:rsid w:val="00800E5B"/>
    <w:rsid w:val="008714C5"/>
    <w:rsid w:val="008849CB"/>
    <w:rsid w:val="00886F6E"/>
    <w:rsid w:val="00894030"/>
    <w:rsid w:val="008B14F7"/>
    <w:rsid w:val="008B79C9"/>
    <w:rsid w:val="008C3EA2"/>
    <w:rsid w:val="008C3FCA"/>
    <w:rsid w:val="008C7077"/>
    <w:rsid w:val="008E2131"/>
    <w:rsid w:val="00913FE5"/>
    <w:rsid w:val="00933982"/>
    <w:rsid w:val="009444DA"/>
    <w:rsid w:val="00945EAC"/>
    <w:rsid w:val="00956C6D"/>
    <w:rsid w:val="00965DEA"/>
    <w:rsid w:val="00977625"/>
    <w:rsid w:val="009D51F4"/>
    <w:rsid w:val="00A048CD"/>
    <w:rsid w:val="00A0553B"/>
    <w:rsid w:val="00A078D7"/>
    <w:rsid w:val="00A124AC"/>
    <w:rsid w:val="00A17A67"/>
    <w:rsid w:val="00A26A41"/>
    <w:rsid w:val="00A36267"/>
    <w:rsid w:val="00A5029F"/>
    <w:rsid w:val="00AC5690"/>
    <w:rsid w:val="00AF2D99"/>
    <w:rsid w:val="00B00323"/>
    <w:rsid w:val="00B17F68"/>
    <w:rsid w:val="00B2211B"/>
    <w:rsid w:val="00B25906"/>
    <w:rsid w:val="00B41F75"/>
    <w:rsid w:val="00B44C13"/>
    <w:rsid w:val="00B56A33"/>
    <w:rsid w:val="00B7234D"/>
    <w:rsid w:val="00B81C9B"/>
    <w:rsid w:val="00B92661"/>
    <w:rsid w:val="00B97949"/>
    <w:rsid w:val="00BD445B"/>
    <w:rsid w:val="00BD542A"/>
    <w:rsid w:val="00BE4972"/>
    <w:rsid w:val="00C07A07"/>
    <w:rsid w:val="00C1327B"/>
    <w:rsid w:val="00C278C1"/>
    <w:rsid w:val="00C519C3"/>
    <w:rsid w:val="00C746D3"/>
    <w:rsid w:val="00C906F3"/>
    <w:rsid w:val="00C9240D"/>
    <w:rsid w:val="00CA0B44"/>
    <w:rsid w:val="00CA2AAE"/>
    <w:rsid w:val="00CE5F5F"/>
    <w:rsid w:val="00CE7AD2"/>
    <w:rsid w:val="00D60A87"/>
    <w:rsid w:val="00D76051"/>
    <w:rsid w:val="00D92997"/>
    <w:rsid w:val="00D97710"/>
    <w:rsid w:val="00DA0096"/>
    <w:rsid w:val="00DB37BA"/>
    <w:rsid w:val="00DC74F7"/>
    <w:rsid w:val="00E01910"/>
    <w:rsid w:val="00E65E2F"/>
    <w:rsid w:val="00E67BA1"/>
    <w:rsid w:val="00E70A20"/>
    <w:rsid w:val="00E9464F"/>
    <w:rsid w:val="00EB1BEF"/>
    <w:rsid w:val="00EC283F"/>
    <w:rsid w:val="00EC5628"/>
    <w:rsid w:val="00ED1027"/>
    <w:rsid w:val="00EF0205"/>
    <w:rsid w:val="00F11B53"/>
    <w:rsid w:val="00F13D98"/>
    <w:rsid w:val="00F2317C"/>
    <w:rsid w:val="00F26F04"/>
    <w:rsid w:val="00F4418E"/>
    <w:rsid w:val="00F46A5A"/>
    <w:rsid w:val="00F76B25"/>
    <w:rsid w:val="00F957D0"/>
    <w:rsid w:val="00FA4626"/>
    <w:rsid w:val="00FE3003"/>
    <w:rsid w:val="00FE6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paragraph" w:styleId="a6">
    <w:name w:val="header"/>
    <w:basedOn w:val="a"/>
    <w:link w:val="a7"/>
    <w:uiPriority w:val="99"/>
    <w:unhideWhenUsed/>
    <w:rsid w:val="004F4209"/>
    <w:pPr>
      <w:tabs>
        <w:tab w:val="center" w:pos="4677"/>
        <w:tab w:val="right" w:pos="9355"/>
      </w:tabs>
    </w:pPr>
  </w:style>
  <w:style w:type="character" w:customStyle="1" w:styleId="a7">
    <w:name w:val="Верхний колонтитул Знак"/>
    <w:basedOn w:val="a0"/>
    <w:link w:val="a6"/>
    <w:uiPriority w:val="99"/>
    <w:rsid w:val="004F420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F4209"/>
    <w:pPr>
      <w:tabs>
        <w:tab w:val="center" w:pos="4677"/>
        <w:tab w:val="right" w:pos="9355"/>
      </w:tabs>
    </w:pPr>
  </w:style>
  <w:style w:type="character" w:customStyle="1" w:styleId="a9">
    <w:name w:val="Нижний колонтитул Знак"/>
    <w:basedOn w:val="a0"/>
    <w:link w:val="a8"/>
    <w:uiPriority w:val="99"/>
    <w:rsid w:val="004F420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paragraph" w:styleId="a6">
    <w:name w:val="header"/>
    <w:basedOn w:val="a"/>
    <w:link w:val="a7"/>
    <w:uiPriority w:val="99"/>
    <w:unhideWhenUsed/>
    <w:rsid w:val="004F4209"/>
    <w:pPr>
      <w:tabs>
        <w:tab w:val="center" w:pos="4677"/>
        <w:tab w:val="right" w:pos="9355"/>
      </w:tabs>
    </w:pPr>
  </w:style>
  <w:style w:type="character" w:customStyle="1" w:styleId="a7">
    <w:name w:val="Верхний колонтитул Знак"/>
    <w:basedOn w:val="a0"/>
    <w:link w:val="a6"/>
    <w:uiPriority w:val="99"/>
    <w:rsid w:val="004F420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F4209"/>
    <w:pPr>
      <w:tabs>
        <w:tab w:val="center" w:pos="4677"/>
        <w:tab w:val="right" w:pos="9355"/>
      </w:tabs>
    </w:pPr>
  </w:style>
  <w:style w:type="character" w:customStyle="1" w:styleId="a9">
    <w:name w:val="Нижний колонтитул Знак"/>
    <w:basedOn w:val="a0"/>
    <w:link w:val="a8"/>
    <w:uiPriority w:val="99"/>
    <w:rsid w:val="004F420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562393">
      <w:bodyDiv w:val="1"/>
      <w:marLeft w:val="0"/>
      <w:marRight w:val="0"/>
      <w:marTop w:val="0"/>
      <w:marBottom w:val="0"/>
      <w:divBdr>
        <w:top w:val="none" w:sz="0" w:space="0" w:color="auto"/>
        <w:left w:val="none" w:sz="0" w:space="0" w:color="auto"/>
        <w:bottom w:val="none" w:sz="0" w:space="0" w:color="auto"/>
        <w:right w:val="none" w:sz="0" w:space="0" w:color="auto"/>
      </w:divBdr>
    </w:div>
    <w:div w:id="508645439">
      <w:bodyDiv w:val="1"/>
      <w:marLeft w:val="0"/>
      <w:marRight w:val="0"/>
      <w:marTop w:val="0"/>
      <w:marBottom w:val="0"/>
      <w:divBdr>
        <w:top w:val="none" w:sz="0" w:space="0" w:color="auto"/>
        <w:left w:val="none" w:sz="0" w:space="0" w:color="auto"/>
        <w:bottom w:val="none" w:sz="0" w:space="0" w:color="auto"/>
        <w:right w:val="none" w:sz="0" w:space="0" w:color="auto"/>
      </w:divBdr>
    </w:div>
    <w:div w:id="1460413994">
      <w:bodyDiv w:val="1"/>
      <w:marLeft w:val="0"/>
      <w:marRight w:val="0"/>
      <w:marTop w:val="0"/>
      <w:marBottom w:val="0"/>
      <w:divBdr>
        <w:top w:val="none" w:sz="0" w:space="0" w:color="auto"/>
        <w:left w:val="none" w:sz="0" w:space="0" w:color="auto"/>
        <w:bottom w:val="none" w:sz="0" w:space="0" w:color="auto"/>
        <w:right w:val="none" w:sz="0" w:space="0" w:color="auto"/>
      </w:divBdr>
    </w:div>
    <w:div w:id="19735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3656</Words>
  <Characters>20841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Чувашова</cp:lastModifiedBy>
  <cp:revision>16</cp:revision>
  <cp:lastPrinted>2025-02-19T09:03:00Z</cp:lastPrinted>
  <dcterms:created xsi:type="dcterms:W3CDTF">2025-02-03T09:57:00Z</dcterms:created>
  <dcterms:modified xsi:type="dcterms:W3CDTF">2025-02-19T09:43:00Z</dcterms:modified>
</cp:coreProperties>
</file>