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года, 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FF0000"/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 xml:space="preserve">с </w:t>
      </w:r>
      <w:r w:rsidR="00965D90" w:rsidRPr="009E5EA9">
        <w:rPr>
          <w:b/>
          <w:sz w:val="24"/>
          <w:szCs w:val="24"/>
        </w:rPr>
        <w:t>9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</w:t>
      </w:r>
      <w:r w:rsidRPr="009E5EA9">
        <w:rPr>
          <w:b/>
          <w:sz w:val="24"/>
          <w:szCs w:val="24"/>
        </w:rPr>
        <w:t xml:space="preserve">0 час. </w:t>
      </w:r>
      <w:r w:rsidR="000D7D18">
        <w:rPr>
          <w:b/>
          <w:sz w:val="24"/>
          <w:szCs w:val="24"/>
        </w:rPr>
        <w:t>2</w:t>
      </w:r>
      <w:r w:rsidR="00943E40">
        <w:rPr>
          <w:b/>
          <w:sz w:val="24"/>
          <w:szCs w:val="24"/>
        </w:rPr>
        <w:t>4</w:t>
      </w:r>
      <w:r w:rsidR="00166580" w:rsidRPr="009E5EA9">
        <w:rPr>
          <w:b/>
          <w:color w:val="FF0000"/>
          <w:sz w:val="24"/>
          <w:szCs w:val="24"/>
        </w:rPr>
        <w:t xml:space="preserve"> </w:t>
      </w:r>
      <w:r w:rsidR="00DE6501" w:rsidRPr="009E5EA9">
        <w:rPr>
          <w:b/>
          <w:color w:val="000000" w:themeColor="text1"/>
          <w:sz w:val="24"/>
          <w:szCs w:val="24"/>
        </w:rPr>
        <w:t>июня</w:t>
      </w:r>
      <w:r w:rsidR="008159A2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0D7D18">
        <w:rPr>
          <w:b/>
          <w:sz w:val="24"/>
          <w:szCs w:val="24"/>
        </w:rPr>
        <w:t>26</w:t>
      </w:r>
      <w:r w:rsidR="00166580" w:rsidRPr="009E5EA9">
        <w:rPr>
          <w:b/>
          <w:color w:val="FF0000"/>
          <w:sz w:val="24"/>
          <w:szCs w:val="24"/>
        </w:rPr>
        <w:t xml:space="preserve"> </w:t>
      </w:r>
      <w:r w:rsidR="00166580" w:rsidRPr="009E5EA9">
        <w:rPr>
          <w:b/>
          <w:color w:val="000000" w:themeColor="text1"/>
          <w:sz w:val="24"/>
          <w:szCs w:val="24"/>
        </w:rPr>
        <w:t>ию</w:t>
      </w:r>
      <w:r w:rsidR="00DE6501" w:rsidRPr="009E5EA9">
        <w:rPr>
          <w:b/>
          <w:color w:val="000000" w:themeColor="text1"/>
          <w:sz w:val="24"/>
          <w:szCs w:val="24"/>
        </w:rPr>
        <w:t>л</w:t>
      </w:r>
      <w:r w:rsidR="00166580" w:rsidRPr="009E5EA9">
        <w:rPr>
          <w:b/>
          <w:color w:val="000000" w:themeColor="text1"/>
          <w:sz w:val="24"/>
          <w:szCs w:val="24"/>
        </w:rPr>
        <w:t>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0D7D18" w:rsidRPr="000D7D18">
        <w:rPr>
          <w:b/>
          <w:sz w:val="24"/>
          <w:szCs w:val="24"/>
        </w:rPr>
        <w:t>30</w:t>
      </w:r>
      <w:r w:rsidR="00166580" w:rsidRPr="000D7D18">
        <w:rPr>
          <w:b/>
          <w:color w:val="000000" w:themeColor="text1"/>
          <w:sz w:val="24"/>
          <w:szCs w:val="24"/>
        </w:rPr>
        <w:t xml:space="preserve"> </w:t>
      </w:r>
      <w:r w:rsidR="00166580" w:rsidRPr="009E5EA9">
        <w:rPr>
          <w:b/>
          <w:color w:val="000000" w:themeColor="text1"/>
          <w:sz w:val="24"/>
          <w:szCs w:val="24"/>
        </w:rPr>
        <w:t>ию</w:t>
      </w:r>
      <w:r w:rsidR="00DE6501" w:rsidRPr="009E5EA9">
        <w:rPr>
          <w:b/>
          <w:color w:val="000000" w:themeColor="text1"/>
          <w:sz w:val="24"/>
          <w:szCs w:val="24"/>
        </w:rPr>
        <w:t>л</w:t>
      </w:r>
      <w:r w:rsidR="00166580" w:rsidRPr="009E5EA9">
        <w:rPr>
          <w:b/>
          <w:color w:val="000000" w:themeColor="text1"/>
          <w:sz w:val="24"/>
          <w:szCs w:val="24"/>
        </w:rPr>
        <w:t>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0D7D18">
        <w:rPr>
          <w:b/>
          <w:color w:val="000000" w:themeColor="text1"/>
          <w:sz w:val="24"/>
          <w:szCs w:val="24"/>
        </w:rPr>
        <w:t>6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0D7D18" w:rsidRPr="000D7D18">
        <w:rPr>
          <w:b/>
          <w:sz w:val="24"/>
          <w:szCs w:val="24"/>
        </w:rPr>
        <w:t>0</w:t>
      </w:r>
      <w:r w:rsidR="00CF51A3">
        <w:rPr>
          <w:b/>
          <w:color w:val="000000" w:themeColor="text1"/>
          <w:sz w:val="24"/>
          <w:szCs w:val="24"/>
        </w:rPr>
        <w:t>2</w:t>
      </w:r>
      <w:r w:rsidR="00166580" w:rsidRPr="009E5EA9">
        <w:rPr>
          <w:b/>
          <w:color w:val="000000" w:themeColor="text1"/>
          <w:sz w:val="24"/>
          <w:szCs w:val="24"/>
        </w:rPr>
        <w:t xml:space="preserve"> </w:t>
      </w:r>
      <w:r w:rsidR="000D7D18">
        <w:rPr>
          <w:b/>
          <w:color w:val="000000" w:themeColor="text1"/>
          <w:sz w:val="24"/>
          <w:szCs w:val="24"/>
        </w:rPr>
        <w:t>августа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</w:t>
      </w:r>
      <w:proofErr w:type="spellStart"/>
      <w:r w:rsidR="00E471E2" w:rsidRPr="009E5EA9">
        <w:rPr>
          <w:sz w:val="24"/>
          <w:szCs w:val="24"/>
        </w:rPr>
        <w:t>лощадке</w:t>
      </w:r>
      <w:proofErr w:type="spell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bookmarkStart w:id="0" w:name="_GoBack"/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bookmarkEnd w:id="0"/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lastRenderedPageBreak/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4F8E-7499-47B3-8BDE-5566DABF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35</cp:revision>
  <cp:lastPrinted>2018-03-01T09:21:00Z</cp:lastPrinted>
  <dcterms:created xsi:type="dcterms:W3CDTF">2019-05-27T07:34:00Z</dcterms:created>
  <dcterms:modified xsi:type="dcterms:W3CDTF">2019-06-14T06:55:00Z</dcterms:modified>
</cp:coreProperties>
</file>